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3BD3" w:rsidRPr="00EE3B00" w:rsidRDefault="00713BD3" w:rsidP="00713BD3">
      <w:pPr>
        <w:pStyle w:val="Nagwek1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EE3B00">
        <w:rPr>
          <w:rFonts w:ascii="Arial Narrow" w:hAnsi="Arial Narrow"/>
          <w:sz w:val="28"/>
          <w:szCs w:val="28"/>
        </w:rPr>
        <w:t xml:space="preserve">ZARZĄDZENIE Nr </w:t>
      </w:r>
      <w:r w:rsidR="00EE3B00">
        <w:rPr>
          <w:rFonts w:ascii="Arial Narrow" w:hAnsi="Arial Narrow"/>
          <w:sz w:val="28"/>
          <w:szCs w:val="28"/>
        </w:rPr>
        <w:t>0050</w:t>
      </w:r>
      <w:r w:rsidR="006F4E0A">
        <w:rPr>
          <w:rFonts w:ascii="Arial Narrow" w:hAnsi="Arial Narrow"/>
          <w:sz w:val="28"/>
          <w:szCs w:val="28"/>
        </w:rPr>
        <w:t>.190</w:t>
      </w:r>
      <w:r w:rsidRPr="00EE3B00">
        <w:rPr>
          <w:rFonts w:ascii="Arial Narrow" w:hAnsi="Arial Narrow"/>
          <w:sz w:val="28"/>
          <w:szCs w:val="28"/>
        </w:rPr>
        <w:t>.20</w:t>
      </w:r>
      <w:r w:rsidR="00F76879" w:rsidRPr="00EE3B00">
        <w:rPr>
          <w:rFonts w:ascii="Arial Narrow" w:hAnsi="Arial Narrow"/>
          <w:sz w:val="28"/>
          <w:szCs w:val="28"/>
        </w:rPr>
        <w:t>2</w:t>
      </w:r>
      <w:r w:rsidR="00AC2891" w:rsidRPr="00EE3B00">
        <w:rPr>
          <w:rFonts w:ascii="Arial Narrow" w:hAnsi="Arial Narrow"/>
          <w:sz w:val="28"/>
          <w:szCs w:val="28"/>
        </w:rPr>
        <w:t>4</w:t>
      </w:r>
    </w:p>
    <w:p w:rsidR="00713BD3" w:rsidRPr="00EE3B00" w:rsidRDefault="00713BD3" w:rsidP="00713BD3">
      <w:pPr>
        <w:pStyle w:val="Nagwek1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EE3B00">
        <w:rPr>
          <w:rFonts w:ascii="Arial Narrow" w:hAnsi="Arial Narrow"/>
          <w:sz w:val="28"/>
          <w:szCs w:val="28"/>
        </w:rPr>
        <w:t xml:space="preserve">Burmistrza </w:t>
      </w:r>
      <w:r w:rsidR="00C705D4" w:rsidRPr="00EE3B00">
        <w:rPr>
          <w:rFonts w:ascii="Arial Narrow" w:hAnsi="Arial Narrow"/>
          <w:sz w:val="28"/>
          <w:szCs w:val="28"/>
        </w:rPr>
        <w:t>Miasta Płońsk</w:t>
      </w:r>
    </w:p>
    <w:p w:rsidR="00F76879" w:rsidRPr="00EE3B00" w:rsidRDefault="00713BD3" w:rsidP="00EE3B00">
      <w:pPr>
        <w:tabs>
          <w:tab w:val="left" w:pos="300"/>
        </w:tabs>
        <w:spacing w:line="100" w:lineRule="atLeast"/>
        <w:jc w:val="center"/>
        <w:rPr>
          <w:rFonts w:ascii="Arial Narrow" w:hAnsi="Arial Narrow" w:cs="Arial"/>
          <w:b/>
          <w:sz w:val="28"/>
          <w:szCs w:val="28"/>
        </w:rPr>
      </w:pPr>
      <w:r w:rsidRPr="00EE3B00">
        <w:rPr>
          <w:rFonts w:ascii="Arial Narrow" w:hAnsi="Arial Narrow" w:cs="Arial"/>
          <w:b/>
          <w:sz w:val="28"/>
          <w:szCs w:val="28"/>
        </w:rPr>
        <w:t xml:space="preserve">z dnia </w:t>
      </w:r>
      <w:r w:rsidR="006F4E0A">
        <w:rPr>
          <w:rFonts w:ascii="Arial Narrow" w:hAnsi="Arial Narrow" w:cs="Arial"/>
          <w:b/>
          <w:sz w:val="28"/>
          <w:szCs w:val="28"/>
        </w:rPr>
        <w:t>11 grudnia</w:t>
      </w:r>
      <w:r w:rsidRPr="00EE3B00">
        <w:rPr>
          <w:rFonts w:ascii="Arial Narrow" w:hAnsi="Arial Narrow" w:cs="Arial"/>
          <w:b/>
          <w:sz w:val="28"/>
          <w:szCs w:val="28"/>
        </w:rPr>
        <w:t xml:space="preserve"> 20</w:t>
      </w:r>
      <w:r w:rsidR="00F76879" w:rsidRPr="00EE3B00">
        <w:rPr>
          <w:rFonts w:ascii="Arial Narrow" w:hAnsi="Arial Narrow" w:cs="Arial"/>
          <w:b/>
          <w:sz w:val="28"/>
          <w:szCs w:val="28"/>
        </w:rPr>
        <w:t>2</w:t>
      </w:r>
      <w:r w:rsidR="00C705D4" w:rsidRPr="00EE3B00">
        <w:rPr>
          <w:rFonts w:ascii="Arial Narrow" w:hAnsi="Arial Narrow" w:cs="Arial"/>
          <w:b/>
          <w:sz w:val="28"/>
          <w:szCs w:val="28"/>
        </w:rPr>
        <w:t>4</w:t>
      </w:r>
      <w:r w:rsidRPr="00EE3B00">
        <w:rPr>
          <w:rFonts w:ascii="Arial Narrow" w:hAnsi="Arial Narrow" w:cs="Arial"/>
          <w:b/>
          <w:sz w:val="28"/>
          <w:szCs w:val="28"/>
        </w:rPr>
        <w:t xml:space="preserve"> r.</w:t>
      </w:r>
    </w:p>
    <w:p w:rsidR="00713BD3" w:rsidRPr="00EE3B00" w:rsidRDefault="00713BD3" w:rsidP="00713BD3">
      <w:pPr>
        <w:pStyle w:val="Bezodstpw"/>
        <w:jc w:val="center"/>
        <w:rPr>
          <w:rFonts w:ascii="Arial Narrow" w:hAnsi="Arial Narrow" w:cs="Arial"/>
          <w:b/>
        </w:rPr>
      </w:pPr>
      <w:r w:rsidRPr="00EE3B00">
        <w:rPr>
          <w:rFonts w:ascii="Arial Narrow" w:hAnsi="Arial Narrow" w:cs="Arial"/>
          <w:b/>
        </w:rPr>
        <w:t xml:space="preserve">w sprawie rozstrzygnięcia o sposobie rozpatrzenia </w:t>
      </w:r>
    </w:p>
    <w:p w:rsidR="00713BD3" w:rsidRPr="00EE3B00" w:rsidRDefault="00713BD3" w:rsidP="00713BD3">
      <w:pPr>
        <w:pStyle w:val="Bezodstpw"/>
        <w:jc w:val="center"/>
        <w:rPr>
          <w:rFonts w:ascii="Arial Narrow" w:hAnsi="Arial Narrow" w:cs="Arial"/>
          <w:b/>
        </w:rPr>
      </w:pPr>
      <w:r w:rsidRPr="00EE3B00">
        <w:rPr>
          <w:rFonts w:ascii="Arial Narrow" w:hAnsi="Arial Narrow" w:cs="Arial"/>
          <w:b/>
        </w:rPr>
        <w:t>uwag wniesionych do</w:t>
      </w:r>
      <w:r w:rsidR="00DC57FB" w:rsidRPr="00EE3B00">
        <w:rPr>
          <w:rFonts w:ascii="Arial Narrow" w:hAnsi="Arial Narrow" w:cs="Arial"/>
          <w:b/>
        </w:rPr>
        <w:t xml:space="preserve"> ponownie</w:t>
      </w:r>
      <w:r w:rsidRPr="00EE3B00">
        <w:rPr>
          <w:rFonts w:ascii="Arial Narrow" w:hAnsi="Arial Narrow" w:cs="Arial"/>
          <w:b/>
        </w:rPr>
        <w:t xml:space="preserve"> wyłożonego do publicznego wglądu </w:t>
      </w:r>
    </w:p>
    <w:p w:rsidR="003577DE" w:rsidRDefault="00713BD3" w:rsidP="00713BD3">
      <w:pPr>
        <w:pStyle w:val="Bezodstpw"/>
        <w:jc w:val="center"/>
        <w:rPr>
          <w:rFonts w:ascii="Arial Narrow" w:hAnsi="Arial Narrow" w:cs="Arial"/>
          <w:b/>
          <w:color w:val="000000"/>
        </w:rPr>
      </w:pPr>
      <w:r w:rsidRPr="00EE3B00">
        <w:rPr>
          <w:rFonts w:ascii="Arial Narrow" w:hAnsi="Arial Narrow" w:cs="Arial"/>
          <w:b/>
        </w:rPr>
        <w:t xml:space="preserve">projektu </w:t>
      </w:r>
      <w:r w:rsidR="00C705D4" w:rsidRPr="00EE3B00">
        <w:rPr>
          <w:rFonts w:ascii="Arial Narrow" w:hAnsi="Arial Narrow" w:cs="Arial"/>
          <w:b/>
          <w:color w:val="000000"/>
        </w:rPr>
        <w:t xml:space="preserve">Miejscowego Planu Zagospodarowania Przestrzennego Miasta Płońsk dla: obszaru „Młodzieżowa”, obszaru „Warszawska - Kwiatowa", obszaru "Sienkiewicza", </w:t>
      </w:r>
    </w:p>
    <w:p w:rsidR="00713BD3" w:rsidRDefault="00C705D4" w:rsidP="00713BD3">
      <w:pPr>
        <w:pStyle w:val="Bezodstpw"/>
        <w:jc w:val="center"/>
        <w:rPr>
          <w:rFonts w:ascii="Arial Narrow" w:hAnsi="Arial Narrow" w:cs="Arial"/>
          <w:b/>
          <w:color w:val="000000"/>
        </w:rPr>
      </w:pPr>
      <w:r w:rsidRPr="00EE3B00">
        <w:rPr>
          <w:rFonts w:ascii="Arial Narrow" w:hAnsi="Arial Narrow" w:cs="Arial"/>
          <w:b/>
          <w:color w:val="000000"/>
        </w:rPr>
        <w:t>obszaru "Wojska Polskiego"</w:t>
      </w:r>
    </w:p>
    <w:p w:rsidR="003577DE" w:rsidRPr="00EE3B00" w:rsidRDefault="003577DE" w:rsidP="00713BD3">
      <w:pPr>
        <w:pStyle w:val="Bezodstpw"/>
        <w:jc w:val="center"/>
        <w:rPr>
          <w:rFonts w:ascii="Arial Narrow" w:hAnsi="Arial Narrow" w:cs="Arial"/>
          <w:b/>
          <w:bCs/>
        </w:rPr>
      </w:pPr>
    </w:p>
    <w:p w:rsidR="00713BD3" w:rsidRPr="00EE3B00" w:rsidRDefault="00713BD3" w:rsidP="00713BD3">
      <w:pPr>
        <w:pStyle w:val="Tekstpodstawowy3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713BD3" w:rsidRPr="003577DE" w:rsidRDefault="00713BD3" w:rsidP="00713BD3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  <w:szCs w:val="22"/>
        </w:rPr>
      </w:pPr>
      <w:r w:rsidRPr="00EE3B00">
        <w:rPr>
          <w:rFonts w:ascii="Arial Narrow" w:hAnsi="Arial Narrow" w:cs="Arial"/>
          <w:b w:val="0"/>
          <w:sz w:val="22"/>
          <w:szCs w:val="22"/>
        </w:rPr>
        <w:t>Na podstawie art. 30 ust.</w:t>
      </w:r>
      <w:r w:rsidR="00F76879" w:rsidRPr="00EE3B00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EE3B00">
        <w:rPr>
          <w:rFonts w:ascii="Arial Narrow" w:hAnsi="Arial Narrow" w:cs="Arial"/>
          <w:b w:val="0"/>
          <w:sz w:val="22"/>
          <w:szCs w:val="22"/>
        </w:rPr>
        <w:t>1 ustawy z dnia 8 marca 1990</w:t>
      </w:r>
      <w:r w:rsidR="00F76879" w:rsidRPr="00EE3B00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EE3B00">
        <w:rPr>
          <w:rFonts w:ascii="Arial Narrow" w:hAnsi="Arial Narrow" w:cs="Arial"/>
          <w:b w:val="0"/>
          <w:sz w:val="22"/>
          <w:szCs w:val="22"/>
        </w:rPr>
        <w:t>r. o samorządzie gminnym (Dz. U. z 20</w:t>
      </w:r>
      <w:r w:rsidR="00F76879" w:rsidRPr="00EE3B00">
        <w:rPr>
          <w:rFonts w:ascii="Arial Narrow" w:hAnsi="Arial Narrow" w:cs="Arial"/>
          <w:b w:val="0"/>
          <w:sz w:val="22"/>
          <w:szCs w:val="22"/>
        </w:rPr>
        <w:t>2</w:t>
      </w:r>
      <w:r w:rsidR="00C705D4" w:rsidRPr="00EE3B00">
        <w:rPr>
          <w:rFonts w:ascii="Arial Narrow" w:hAnsi="Arial Narrow" w:cs="Arial"/>
          <w:b w:val="0"/>
          <w:sz w:val="22"/>
          <w:szCs w:val="22"/>
        </w:rPr>
        <w:t>4</w:t>
      </w:r>
      <w:r w:rsidRPr="00EE3B00">
        <w:rPr>
          <w:rFonts w:ascii="Arial Narrow" w:hAnsi="Arial Narrow" w:cs="Arial"/>
          <w:b w:val="0"/>
          <w:sz w:val="22"/>
          <w:szCs w:val="22"/>
        </w:rPr>
        <w:t xml:space="preserve"> r. poz. </w:t>
      </w:r>
      <w:r w:rsidR="00DC57FB" w:rsidRPr="00EE3B00">
        <w:rPr>
          <w:rFonts w:ascii="Arial Narrow" w:hAnsi="Arial Narrow" w:cs="Arial"/>
          <w:b w:val="0"/>
          <w:sz w:val="22"/>
          <w:szCs w:val="22"/>
        </w:rPr>
        <w:t>1465</w:t>
      </w:r>
      <w:r w:rsidR="00744B0C" w:rsidRPr="00EE3B00">
        <w:rPr>
          <w:rFonts w:ascii="Arial Narrow" w:hAnsi="Arial Narrow" w:cs="Arial"/>
          <w:b w:val="0"/>
          <w:sz w:val="22"/>
          <w:szCs w:val="22"/>
        </w:rPr>
        <w:t xml:space="preserve"> ze zm</w:t>
      </w:r>
      <w:r w:rsidR="00EE3B00">
        <w:rPr>
          <w:rFonts w:ascii="Arial Narrow" w:hAnsi="Arial Narrow" w:cs="Arial"/>
          <w:b w:val="0"/>
          <w:sz w:val="22"/>
          <w:szCs w:val="22"/>
        </w:rPr>
        <w:t>.</w:t>
      </w:r>
      <w:r w:rsidRPr="00EE3B00">
        <w:rPr>
          <w:rFonts w:ascii="Arial Narrow" w:hAnsi="Arial Narrow" w:cs="Arial"/>
          <w:b w:val="0"/>
          <w:sz w:val="22"/>
          <w:szCs w:val="22"/>
        </w:rPr>
        <w:t xml:space="preserve">) oraz </w:t>
      </w:r>
      <w:r w:rsidR="00744B0C" w:rsidRPr="00EE3B00">
        <w:rPr>
          <w:rFonts w:ascii="Arial Narrow" w:hAnsi="Arial Narrow" w:cs="Arial"/>
          <w:b w:val="0"/>
          <w:sz w:val="22"/>
          <w:szCs w:val="22"/>
        </w:rPr>
        <w:t>art. 17 pkt. 12</w:t>
      </w:r>
      <w:r w:rsidRPr="00EE3B00">
        <w:rPr>
          <w:rFonts w:ascii="Arial Narrow" w:hAnsi="Arial Narrow" w:cs="Arial"/>
          <w:b w:val="0"/>
          <w:sz w:val="22"/>
          <w:szCs w:val="22"/>
        </w:rPr>
        <w:t xml:space="preserve"> ustawy z dnia 27 marca 2003 r. o planowaniu i zagospodarowaniu przestrzennym (</w:t>
      </w:r>
      <w:r w:rsidR="00956AF2">
        <w:rPr>
          <w:rFonts w:ascii="Arial Narrow" w:hAnsi="Arial Narrow" w:cs="Arial"/>
          <w:b w:val="0"/>
          <w:sz w:val="22"/>
          <w:szCs w:val="22"/>
        </w:rPr>
        <w:t xml:space="preserve">tj. </w:t>
      </w:r>
      <w:r w:rsidRPr="00EE3B00">
        <w:rPr>
          <w:rFonts w:ascii="Arial Narrow" w:hAnsi="Arial Narrow" w:cs="Arial"/>
          <w:b w:val="0"/>
          <w:sz w:val="22"/>
          <w:szCs w:val="22"/>
        </w:rPr>
        <w:t>Dz.</w:t>
      </w:r>
      <w:r w:rsidR="000E2FED" w:rsidRPr="00EE3B00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EE3B00">
        <w:rPr>
          <w:rFonts w:ascii="Arial Narrow" w:hAnsi="Arial Narrow" w:cs="Arial"/>
          <w:b w:val="0"/>
          <w:sz w:val="22"/>
          <w:szCs w:val="22"/>
        </w:rPr>
        <w:t>U. z 20</w:t>
      </w:r>
      <w:r w:rsidR="00F76879" w:rsidRPr="00EE3B00">
        <w:rPr>
          <w:rFonts w:ascii="Arial Narrow" w:hAnsi="Arial Narrow" w:cs="Arial"/>
          <w:b w:val="0"/>
          <w:sz w:val="22"/>
          <w:szCs w:val="22"/>
        </w:rPr>
        <w:t>2</w:t>
      </w:r>
      <w:r w:rsidR="00DC57FB" w:rsidRPr="00EE3B00">
        <w:rPr>
          <w:rFonts w:ascii="Arial Narrow" w:hAnsi="Arial Narrow" w:cs="Arial"/>
          <w:b w:val="0"/>
          <w:sz w:val="22"/>
          <w:szCs w:val="22"/>
        </w:rPr>
        <w:t>4</w:t>
      </w:r>
      <w:r w:rsidR="00F76879" w:rsidRPr="00EE3B00">
        <w:rPr>
          <w:rFonts w:ascii="Arial Narrow" w:hAnsi="Arial Narrow" w:cs="Arial"/>
          <w:b w:val="0"/>
          <w:sz w:val="22"/>
          <w:szCs w:val="22"/>
        </w:rPr>
        <w:t xml:space="preserve"> r. poz. </w:t>
      </w:r>
      <w:r w:rsidR="00DC57FB" w:rsidRPr="00EE3B00">
        <w:rPr>
          <w:rFonts w:ascii="Arial Narrow" w:hAnsi="Arial Narrow" w:cs="Arial"/>
          <w:b w:val="0"/>
          <w:sz w:val="22"/>
          <w:szCs w:val="22"/>
        </w:rPr>
        <w:t>1130</w:t>
      </w:r>
      <w:r w:rsidRPr="00EE3B00">
        <w:rPr>
          <w:rFonts w:ascii="Arial Narrow" w:hAnsi="Arial Narrow" w:cs="Arial"/>
          <w:b w:val="0"/>
          <w:sz w:val="22"/>
          <w:szCs w:val="22"/>
        </w:rPr>
        <w:t>)</w:t>
      </w:r>
      <w:r w:rsidR="00C705D4" w:rsidRPr="00EE3B00">
        <w:rPr>
          <w:rFonts w:ascii="Arial Narrow" w:hAnsi="Arial Narrow" w:cs="Arial"/>
          <w:b w:val="0"/>
          <w:sz w:val="22"/>
          <w:szCs w:val="22"/>
        </w:rPr>
        <w:t xml:space="preserve">, </w:t>
      </w:r>
      <w:r w:rsidR="00C705D4" w:rsidRPr="00EE3B00">
        <w:rPr>
          <w:rFonts w:ascii="Arial Narrow" w:hAnsi="Arial Narrow" w:cs="Arial"/>
          <w:b w:val="0"/>
          <w:color w:val="000000"/>
          <w:sz w:val="22"/>
          <w:szCs w:val="22"/>
        </w:rPr>
        <w:t xml:space="preserve">w związku z art. 67 ust. 3 pkt. 4 ustawy z dnia 7 lipca 2023 r. </w:t>
      </w:r>
      <w:r w:rsidR="00C705D4" w:rsidRPr="00EE3B00">
        <w:rPr>
          <w:rFonts w:ascii="Arial Narrow" w:hAnsi="Arial Narrow" w:cs="Arial"/>
          <w:b w:val="0"/>
          <w:bCs/>
          <w:sz w:val="22"/>
          <w:szCs w:val="22"/>
        </w:rPr>
        <w:t>o zmianie ustawy o planowaniu i zagospodarowaniu przestrzennym oraz niektórych innych ustaw (Dz. U. z 2023 poz. 1688),</w:t>
      </w:r>
      <w:r w:rsidRPr="00EE3B00">
        <w:rPr>
          <w:rFonts w:ascii="Arial Narrow" w:hAnsi="Arial Narrow" w:cs="Arial"/>
          <w:b w:val="0"/>
          <w:sz w:val="22"/>
          <w:szCs w:val="22"/>
        </w:rPr>
        <w:t xml:space="preserve"> zarządzam, co następuje</w:t>
      </w:r>
      <w:r w:rsidRPr="00EE3B00">
        <w:rPr>
          <w:rFonts w:ascii="Arial Narrow" w:hAnsi="Arial Narrow"/>
          <w:b w:val="0"/>
          <w:sz w:val="22"/>
          <w:szCs w:val="22"/>
        </w:rPr>
        <w:t>:</w:t>
      </w:r>
    </w:p>
    <w:p w:rsidR="003577DE" w:rsidRDefault="00713BD3" w:rsidP="003577DE">
      <w:pPr>
        <w:pStyle w:val="Tekstpodstawowy3"/>
        <w:spacing w:line="240" w:lineRule="auto"/>
        <w:rPr>
          <w:rFonts w:ascii="Arial Narrow" w:hAnsi="Arial Narrow"/>
          <w:sz w:val="22"/>
          <w:szCs w:val="22"/>
        </w:rPr>
      </w:pPr>
      <w:r w:rsidRPr="00EE3B00">
        <w:rPr>
          <w:rFonts w:ascii="Arial Narrow" w:hAnsi="Arial Narrow"/>
          <w:sz w:val="22"/>
          <w:szCs w:val="22"/>
        </w:rPr>
        <w:t>§1</w:t>
      </w:r>
      <w:r w:rsidR="00956AF2">
        <w:rPr>
          <w:rFonts w:ascii="Arial Narrow" w:hAnsi="Arial Narrow"/>
          <w:sz w:val="22"/>
          <w:szCs w:val="22"/>
        </w:rPr>
        <w:t>.</w:t>
      </w:r>
    </w:p>
    <w:p w:rsidR="00956AF2" w:rsidRPr="00EE3B00" w:rsidRDefault="00956AF2" w:rsidP="003577DE">
      <w:pPr>
        <w:pStyle w:val="Tekstpodstawowy3"/>
        <w:spacing w:line="240" w:lineRule="auto"/>
        <w:rPr>
          <w:rFonts w:ascii="Arial Narrow" w:hAnsi="Arial Narrow"/>
          <w:sz w:val="22"/>
          <w:szCs w:val="22"/>
        </w:rPr>
      </w:pPr>
    </w:p>
    <w:p w:rsidR="003239D7" w:rsidRDefault="003239D7" w:rsidP="00956AF2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1. </w:t>
      </w:r>
      <w:r w:rsidR="00713BD3" w:rsidRPr="00EE3B00">
        <w:rPr>
          <w:rFonts w:ascii="Arial Narrow" w:hAnsi="Arial Narrow"/>
          <w:b w:val="0"/>
          <w:sz w:val="22"/>
          <w:szCs w:val="22"/>
        </w:rPr>
        <w:t>Rozstrzyg</w:t>
      </w:r>
      <w:r>
        <w:rPr>
          <w:rFonts w:ascii="Arial Narrow" w:hAnsi="Arial Narrow"/>
          <w:b w:val="0"/>
          <w:sz w:val="22"/>
          <w:szCs w:val="22"/>
        </w:rPr>
        <w:t>am</w:t>
      </w:r>
      <w:r w:rsidR="00713BD3" w:rsidRPr="00EE3B00">
        <w:rPr>
          <w:rFonts w:ascii="Arial Narrow" w:hAnsi="Arial Narrow"/>
          <w:b w:val="0"/>
          <w:sz w:val="22"/>
          <w:szCs w:val="22"/>
        </w:rPr>
        <w:t xml:space="preserve"> uwag</w:t>
      </w:r>
      <w:r>
        <w:rPr>
          <w:rFonts w:ascii="Arial Narrow" w:hAnsi="Arial Narrow"/>
          <w:b w:val="0"/>
          <w:sz w:val="22"/>
          <w:szCs w:val="22"/>
        </w:rPr>
        <w:t>i</w:t>
      </w:r>
      <w:r w:rsidR="00713BD3" w:rsidRPr="00EE3B00">
        <w:rPr>
          <w:rFonts w:ascii="Arial Narrow" w:hAnsi="Arial Narrow"/>
          <w:b w:val="0"/>
          <w:sz w:val="22"/>
          <w:szCs w:val="22"/>
        </w:rPr>
        <w:t xml:space="preserve"> złożon</w:t>
      </w:r>
      <w:r>
        <w:rPr>
          <w:rFonts w:ascii="Arial Narrow" w:hAnsi="Arial Narrow"/>
          <w:b w:val="0"/>
          <w:sz w:val="22"/>
          <w:szCs w:val="22"/>
        </w:rPr>
        <w:t>e</w:t>
      </w:r>
      <w:r w:rsidR="00713BD3" w:rsidRPr="00EE3B00">
        <w:rPr>
          <w:rFonts w:ascii="Arial Narrow" w:hAnsi="Arial Narrow"/>
          <w:b w:val="0"/>
          <w:sz w:val="22"/>
          <w:szCs w:val="22"/>
        </w:rPr>
        <w:t xml:space="preserve"> do </w:t>
      </w:r>
      <w:r>
        <w:rPr>
          <w:rFonts w:ascii="Arial Narrow" w:hAnsi="Arial Narrow"/>
          <w:b w:val="0"/>
          <w:sz w:val="22"/>
          <w:szCs w:val="22"/>
        </w:rPr>
        <w:t xml:space="preserve">ponownie </w:t>
      </w:r>
      <w:r w:rsidR="00713BD3" w:rsidRPr="00EE3B00">
        <w:rPr>
          <w:rFonts w:ascii="Arial Narrow" w:hAnsi="Arial Narrow"/>
          <w:b w:val="0"/>
          <w:sz w:val="22"/>
          <w:szCs w:val="22"/>
        </w:rPr>
        <w:t xml:space="preserve">wyłożonego do publicznego wglądu projektu </w:t>
      </w:r>
      <w:r w:rsidR="00C705D4" w:rsidRPr="00EE3B00">
        <w:rPr>
          <w:rFonts w:ascii="Arial Narrow" w:hAnsi="Arial Narrow" w:cs="Arial"/>
          <w:b w:val="0"/>
          <w:color w:val="000000"/>
          <w:sz w:val="22"/>
          <w:szCs w:val="22"/>
        </w:rPr>
        <w:t>Miejscowego Planu Zagospodarowania Przestrzennego Miasta Płońsk dla: obszaru „Młodzieżowa”, obszaru „Warszawska - Kwiatowa", obszaru "Sienkiewicza", obszaru "Wojska Polskiego"</w:t>
      </w:r>
      <w:r w:rsidR="00713BD3" w:rsidRPr="00EE3B00">
        <w:rPr>
          <w:rFonts w:ascii="Arial Narrow" w:hAnsi="Arial Narrow"/>
          <w:b w:val="0"/>
          <w:sz w:val="22"/>
          <w:szCs w:val="22"/>
        </w:rPr>
        <w:t xml:space="preserve">, w sposób określony w </w:t>
      </w:r>
      <w:r>
        <w:rPr>
          <w:rFonts w:ascii="Arial Narrow" w:hAnsi="Arial Narrow"/>
          <w:b w:val="0"/>
          <w:sz w:val="22"/>
          <w:szCs w:val="22"/>
        </w:rPr>
        <w:t>Z</w:t>
      </w:r>
      <w:r w:rsidR="00713BD3" w:rsidRPr="00EE3B00">
        <w:rPr>
          <w:rFonts w:ascii="Arial Narrow" w:hAnsi="Arial Narrow"/>
          <w:b w:val="0"/>
          <w:sz w:val="22"/>
          <w:szCs w:val="22"/>
        </w:rPr>
        <w:t xml:space="preserve">ałączniku do niniejszego </w:t>
      </w:r>
      <w:r w:rsidR="00713BD3" w:rsidRPr="00956AF2">
        <w:rPr>
          <w:rFonts w:ascii="Arial Narrow" w:hAnsi="Arial Narrow"/>
          <w:b w:val="0"/>
          <w:sz w:val="22"/>
          <w:szCs w:val="22"/>
        </w:rPr>
        <w:t>zarządzenia</w:t>
      </w:r>
      <w:r>
        <w:rPr>
          <w:rFonts w:ascii="Arial Narrow" w:hAnsi="Arial Narrow"/>
          <w:b w:val="0"/>
          <w:sz w:val="22"/>
          <w:szCs w:val="22"/>
        </w:rPr>
        <w:t>.</w:t>
      </w:r>
    </w:p>
    <w:p w:rsidR="00956AF2" w:rsidRPr="00956AF2" w:rsidRDefault="003239D7" w:rsidP="00956AF2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2. Załącznik stanowi integralną </w:t>
      </w:r>
      <w:r w:rsidR="00956AF2" w:rsidRPr="00956AF2">
        <w:rPr>
          <w:rFonts w:ascii="Arial Narrow" w:hAnsi="Arial Narrow"/>
          <w:b w:val="0"/>
          <w:sz w:val="22"/>
          <w:szCs w:val="22"/>
        </w:rPr>
        <w:t>część niniejszego zarządzenia.</w:t>
      </w:r>
    </w:p>
    <w:p w:rsidR="00713BD3" w:rsidRPr="00EE3B00" w:rsidRDefault="00713BD3" w:rsidP="00713BD3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  <w:szCs w:val="22"/>
        </w:rPr>
      </w:pPr>
    </w:p>
    <w:p w:rsidR="008658DF" w:rsidRDefault="008658DF" w:rsidP="008658DF">
      <w:pPr>
        <w:pStyle w:val="Tekstpodstawowy3"/>
        <w:spacing w:line="240" w:lineRule="auto"/>
        <w:rPr>
          <w:rFonts w:ascii="Arial Narrow" w:hAnsi="Arial Narrow"/>
          <w:sz w:val="22"/>
        </w:rPr>
      </w:pPr>
      <w:r w:rsidRPr="00EE3B00">
        <w:rPr>
          <w:rFonts w:ascii="Arial Narrow" w:hAnsi="Arial Narrow"/>
          <w:sz w:val="22"/>
        </w:rPr>
        <w:t>§2.</w:t>
      </w:r>
    </w:p>
    <w:p w:rsidR="00956AF2" w:rsidRPr="00EE3B00" w:rsidRDefault="00956AF2" w:rsidP="008658DF">
      <w:pPr>
        <w:pStyle w:val="Tekstpodstawowy3"/>
        <w:spacing w:line="240" w:lineRule="auto"/>
        <w:rPr>
          <w:rFonts w:ascii="Arial Narrow" w:hAnsi="Arial Narrow"/>
          <w:sz w:val="22"/>
        </w:rPr>
      </w:pPr>
    </w:p>
    <w:p w:rsidR="00713BD3" w:rsidRPr="00EE3B00" w:rsidRDefault="008658DF" w:rsidP="00713BD3">
      <w:pPr>
        <w:pStyle w:val="Tekstpodstawowy3"/>
        <w:spacing w:line="240" w:lineRule="auto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>Wykonanie zarządzenia powierza się Dyrektorowi Wydziału Planowania Przestrzennego i Gospodarki Nieruchomościami.</w:t>
      </w:r>
    </w:p>
    <w:p w:rsidR="00713BD3" w:rsidRPr="00EE3B00" w:rsidRDefault="00713BD3" w:rsidP="00713BD3">
      <w:pPr>
        <w:pStyle w:val="Tekstpodstawowy3"/>
        <w:spacing w:line="240" w:lineRule="auto"/>
        <w:rPr>
          <w:rFonts w:ascii="Arial Narrow" w:hAnsi="Arial Narrow"/>
          <w:sz w:val="22"/>
        </w:rPr>
      </w:pPr>
      <w:r w:rsidRPr="00EE3B00">
        <w:rPr>
          <w:rFonts w:ascii="Arial Narrow" w:hAnsi="Arial Narrow"/>
          <w:sz w:val="22"/>
        </w:rPr>
        <w:t>§</w:t>
      </w:r>
      <w:r w:rsidR="008658DF">
        <w:rPr>
          <w:rFonts w:ascii="Arial Narrow" w:hAnsi="Arial Narrow"/>
          <w:sz w:val="22"/>
        </w:rPr>
        <w:t>3</w:t>
      </w:r>
      <w:r w:rsidRPr="00EE3B00">
        <w:rPr>
          <w:rFonts w:ascii="Arial Narrow" w:hAnsi="Arial Narrow"/>
          <w:sz w:val="22"/>
        </w:rPr>
        <w:t>.</w:t>
      </w:r>
    </w:p>
    <w:p w:rsidR="008658DF" w:rsidRPr="008658DF" w:rsidRDefault="00713BD3" w:rsidP="00EE3B00">
      <w:pPr>
        <w:rPr>
          <w:rFonts w:ascii="Arial Narrow" w:hAnsi="Arial Narrow" w:cs="Arial"/>
        </w:rPr>
      </w:pPr>
      <w:r w:rsidRPr="00EE3B00">
        <w:rPr>
          <w:rFonts w:ascii="Arial Narrow" w:hAnsi="Arial Narrow" w:cs="Arial"/>
        </w:rPr>
        <w:t>Zarządzenie wchodzi w życie z dniem podpisania.</w:t>
      </w:r>
    </w:p>
    <w:p w:rsidR="00B4076E" w:rsidRDefault="00EE3B00" w:rsidP="00B4076E">
      <w:pPr>
        <w:ind w:left="4956" w:firstLine="708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>Burmistrz Miasta Płońsk</w:t>
      </w:r>
    </w:p>
    <w:p w:rsidR="00EE3B00" w:rsidRDefault="00EE3B00" w:rsidP="00EE3B00">
      <w:pPr>
        <w:ind w:left="4956" w:firstLine="708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 xml:space="preserve">       Andrzej Pietrasik</w:t>
      </w:r>
    </w:p>
    <w:tbl>
      <w:tblPr>
        <w:tblpPr w:leftFromText="141" w:rightFromText="141" w:vertAnchor="text" w:horzAnchor="page" w:tblpX="1588" w:tblpY="4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8"/>
        <w:gridCol w:w="2217"/>
        <w:gridCol w:w="2197"/>
        <w:gridCol w:w="1926"/>
        <w:gridCol w:w="932"/>
      </w:tblGrid>
      <w:tr w:rsidR="00EE3B0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B00" w:rsidRDefault="00EE3B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Sporządził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B00" w:rsidRDefault="00EE3B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Sprawdził</w:t>
            </w:r>
            <w:r>
              <w:rPr>
                <w:rFonts w:ascii="Arial Narrow" w:hAnsi="Arial Narrow"/>
              </w:rPr>
              <w:t xml:space="preserve"> (data/podpis/zajmowane stanowisko)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B00" w:rsidRDefault="00EE3B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Nr egz.</w:t>
            </w:r>
          </w:p>
        </w:tc>
      </w:tr>
      <w:tr w:rsidR="00EE3B0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B00" w:rsidRDefault="00EE3B00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Data/podpis/</w:t>
            </w:r>
          </w:p>
          <w:p w:rsidR="00EE3B00" w:rsidRDefault="00EE3B00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zajmowane</w:t>
            </w:r>
          </w:p>
          <w:p w:rsidR="00EE3B00" w:rsidRDefault="00EE3B00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stanowisko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B00" w:rsidRDefault="00EE3B00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 względem</w:t>
            </w:r>
          </w:p>
          <w:p w:rsidR="00EE3B00" w:rsidRDefault="00EE3B00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merytorycznym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B00" w:rsidRDefault="00EE3B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Sekretarz Miasta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B00" w:rsidRDefault="00EE3B00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 względem</w:t>
            </w:r>
          </w:p>
          <w:p w:rsidR="00EE3B00" w:rsidRDefault="00EE3B00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formalno-prawnym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B00" w:rsidRDefault="00EE3B00">
            <w:pPr>
              <w:pStyle w:val="Bezodstpw"/>
              <w:rPr>
                <w:rFonts w:ascii="Arial Narrow" w:hAnsi="Arial Narrow"/>
                <w:b/>
              </w:rPr>
            </w:pPr>
          </w:p>
        </w:tc>
      </w:tr>
      <w:tr w:rsidR="00EE3B00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B00" w:rsidRPr="00BC4DEF" w:rsidRDefault="006F4E0A" w:rsidP="006F4E0A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4DEF">
              <w:rPr>
                <w:rFonts w:ascii="Arial Narrow" w:hAnsi="Arial Narrow"/>
                <w:sz w:val="18"/>
                <w:szCs w:val="18"/>
              </w:rPr>
              <w:t>Inspektor</w:t>
            </w:r>
          </w:p>
          <w:p w:rsidR="006F4E0A" w:rsidRPr="00BC4DEF" w:rsidRDefault="006F4E0A" w:rsidP="006F4E0A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4DEF">
              <w:rPr>
                <w:rFonts w:ascii="Arial Narrow" w:hAnsi="Arial Narrow"/>
                <w:sz w:val="18"/>
                <w:szCs w:val="18"/>
              </w:rPr>
              <w:t>ds. planowania</w:t>
            </w:r>
          </w:p>
          <w:p w:rsidR="006F4E0A" w:rsidRPr="00BC4DEF" w:rsidRDefault="006F4E0A" w:rsidP="006F4E0A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4DEF">
              <w:rPr>
                <w:rFonts w:ascii="Arial Narrow" w:hAnsi="Arial Narrow"/>
                <w:sz w:val="18"/>
                <w:szCs w:val="18"/>
              </w:rPr>
              <w:t>i zagospodarowania</w:t>
            </w:r>
          </w:p>
          <w:p w:rsidR="006F4E0A" w:rsidRPr="00BC4DEF" w:rsidRDefault="006F4E0A" w:rsidP="006F4E0A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4DEF">
              <w:rPr>
                <w:rFonts w:ascii="Arial Narrow" w:hAnsi="Arial Narrow"/>
                <w:sz w:val="18"/>
                <w:szCs w:val="18"/>
              </w:rPr>
              <w:t>przestrzennego</w:t>
            </w:r>
          </w:p>
          <w:p w:rsidR="006F4E0A" w:rsidRPr="00BC4DEF" w:rsidRDefault="006F4E0A" w:rsidP="006F4E0A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C4DEF" w:rsidRPr="00BC4DEF" w:rsidRDefault="006F4E0A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4DEF">
              <w:rPr>
                <w:rFonts w:ascii="Arial Narrow" w:hAnsi="Arial Narrow"/>
                <w:sz w:val="18"/>
                <w:szCs w:val="18"/>
              </w:rPr>
              <w:t>Teresa Junczak</w:t>
            </w:r>
          </w:p>
          <w:p w:rsidR="006F4E0A" w:rsidRPr="00BC4DEF" w:rsidRDefault="006F4E0A" w:rsidP="006F4E0A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4DEF">
              <w:rPr>
                <w:rFonts w:ascii="Arial Narrow" w:hAnsi="Arial Narrow"/>
                <w:sz w:val="18"/>
                <w:szCs w:val="18"/>
              </w:rPr>
              <w:t>10.12.2024r.</w:t>
            </w:r>
          </w:p>
          <w:p w:rsidR="006F4E0A" w:rsidRPr="006F4E0A" w:rsidRDefault="006F4E0A" w:rsidP="006F4E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B00" w:rsidRDefault="00EE3B00">
            <w:pPr>
              <w:rPr>
                <w:rFonts w:ascii="Arial Narrow" w:hAnsi="Arial Narrow"/>
                <w:strike/>
              </w:rPr>
            </w:pPr>
            <w:r>
              <w:rPr>
                <w:rFonts w:ascii="Arial Narrow" w:hAnsi="Arial Narrow"/>
                <w:strike/>
              </w:rPr>
              <w:t>formalno-rachunkowym</w:t>
            </w:r>
            <w:r>
              <w:rPr>
                <w:rFonts w:ascii="Arial Narrow" w:hAnsi="Arial Narrow"/>
                <w:strike/>
                <w:vertAlign w:val="superscript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B00" w:rsidRDefault="00EE3B0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B00" w:rsidRDefault="00EE3B0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B00" w:rsidRDefault="00EE3B00">
            <w:pPr>
              <w:rPr>
                <w:rFonts w:ascii="Times New Roman" w:hAnsi="Times New Roman"/>
                <w:b/>
              </w:rPr>
            </w:pPr>
          </w:p>
        </w:tc>
      </w:tr>
      <w:tr w:rsidR="00EE3B00" w:rsidTr="006F4E0A">
        <w:trPr>
          <w:trHeight w:val="14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B00" w:rsidRDefault="00EE3B0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B00" w:rsidRDefault="006F4E0A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 up. BURMISTRZA</w:t>
            </w:r>
          </w:p>
          <w:p w:rsidR="006F4E0A" w:rsidRDefault="006F4E0A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F4E0A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</w:t>
            </w:r>
            <w:r w:rsidR="006F4E0A">
              <w:rPr>
                <w:rFonts w:ascii="Arial Narrow" w:hAnsi="Arial Narrow"/>
                <w:sz w:val="18"/>
                <w:szCs w:val="18"/>
              </w:rPr>
              <w:t>gr in</w:t>
            </w:r>
            <w:r>
              <w:rPr>
                <w:rFonts w:ascii="Arial Narrow" w:hAnsi="Arial Narrow"/>
                <w:sz w:val="18"/>
                <w:szCs w:val="18"/>
              </w:rPr>
              <w:t>ż</w:t>
            </w:r>
            <w:r w:rsidR="006F4E0A">
              <w:rPr>
                <w:rFonts w:ascii="Arial Narrow" w:hAnsi="Arial Narrow"/>
                <w:sz w:val="18"/>
                <w:szCs w:val="18"/>
              </w:rPr>
              <w:t>. Ewa Grzeszczak</w:t>
            </w:r>
          </w:p>
          <w:p w:rsidR="00BC4DEF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Dyrektor Wydziału Planowania</w:t>
            </w:r>
          </w:p>
          <w:p w:rsidR="00BC4DEF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Przestrzennego i Gospodarki</w:t>
            </w:r>
          </w:p>
          <w:p w:rsidR="00BC4DEF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Nieruchomościami</w:t>
            </w:r>
          </w:p>
          <w:p w:rsidR="00EE3B00" w:rsidRPr="00BC4DEF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B00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SEKRETARZ MIASTA</w:t>
            </w:r>
          </w:p>
          <w:p w:rsidR="00BC4DEF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C4DEF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Andrzej Bogucki</w:t>
            </w:r>
          </w:p>
          <w:p w:rsidR="00BC4DEF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11.12.24</w:t>
            </w:r>
          </w:p>
          <w:p w:rsidR="00BC4DEF" w:rsidRPr="00BC4DEF" w:rsidRDefault="00BC4DEF" w:rsidP="00BC4DEF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  <w:p w:rsidR="00EE3B00" w:rsidRDefault="00EE3B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DEF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E3B00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Dariusz Robert Zawadzki</w:t>
            </w:r>
          </w:p>
          <w:p w:rsidR="00BC4DEF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Radca Prawny</w:t>
            </w:r>
          </w:p>
          <w:p w:rsidR="00BC4DEF" w:rsidRPr="00BC4DEF" w:rsidRDefault="00BC4DEF" w:rsidP="00BC4DE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(BD-1065)</w:t>
            </w:r>
          </w:p>
          <w:p w:rsidR="00EE3B00" w:rsidRDefault="00EE3B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B00" w:rsidRDefault="00EE3B00">
            <w:pPr>
              <w:jc w:val="center"/>
              <w:rPr>
                <w:rFonts w:ascii="Times New Roman" w:hAnsi="Times New Roman"/>
              </w:rPr>
            </w:pPr>
          </w:p>
          <w:p w:rsidR="00EE3B00" w:rsidRDefault="00BC4D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EE3B00" w:rsidRPr="008658DF" w:rsidRDefault="00EE3B00" w:rsidP="00EE3B00">
      <w:pPr>
        <w:rPr>
          <w:rFonts w:ascii="Arial Narrow" w:hAnsi="Arial Narrow"/>
        </w:rPr>
      </w:pPr>
      <w:r w:rsidRPr="008658DF">
        <w:rPr>
          <w:rFonts w:ascii="Arial Narrow" w:hAnsi="Arial Narrow"/>
        </w:rPr>
        <w:t>*niepotrzebne  skreślić</w:t>
      </w:r>
    </w:p>
    <w:p w:rsidR="00330BB1" w:rsidRDefault="00330BB1" w:rsidP="00330BB1">
      <w:pPr>
        <w:rPr>
          <w:b/>
        </w:rPr>
        <w:sectPr w:rsidR="00330BB1" w:rsidSect="00E25C1A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AA3F70" w:rsidRPr="00155111" w:rsidRDefault="00CD7D88" w:rsidP="00CD7D88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AA3F70" w:rsidRPr="00155111">
        <w:rPr>
          <w:rFonts w:ascii="Arial Narrow" w:hAnsi="Arial Narrow" w:cs="Arial"/>
          <w:b/>
        </w:rPr>
        <w:t xml:space="preserve">Załącznik do </w:t>
      </w:r>
      <w:r>
        <w:rPr>
          <w:rFonts w:ascii="Arial Narrow" w:hAnsi="Arial Narrow" w:cs="Arial"/>
          <w:b/>
        </w:rPr>
        <w:t>Z</w:t>
      </w:r>
      <w:r w:rsidR="00AA3F70" w:rsidRPr="00155111">
        <w:rPr>
          <w:rFonts w:ascii="Arial Narrow" w:hAnsi="Arial Narrow" w:cs="Arial"/>
          <w:b/>
        </w:rPr>
        <w:t xml:space="preserve">arządzenia </w:t>
      </w:r>
      <w:r>
        <w:rPr>
          <w:rFonts w:ascii="Arial Narrow" w:hAnsi="Arial Narrow" w:cs="Arial"/>
          <w:b/>
        </w:rPr>
        <w:t>N</w:t>
      </w:r>
      <w:r w:rsidR="00AA3F70" w:rsidRPr="00155111">
        <w:rPr>
          <w:rFonts w:ascii="Arial Narrow" w:hAnsi="Arial Narrow" w:cs="Arial"/>
          <w:b/>
        </w:rPr>
        <w:t xml:space="preserve">r </w:t>
      </w:r>
      <w:r w:rsidR="00010F3A">
        <w:rPr>
          <w:rFonts w:ascii="Arial Narrow" w:hAnsi="Arial Narrow" w:cs="Arial"/>
          <w:b/>
        </w:rPr>
        <w:t>005</w:t>
      </w:r>
      <w:r w:rsidR="00E95292">
        <w:rPr>
          <w:rFonts w:ascii="Arial Narrow" w:hAnsi="Arial Narrow" w:cs="Arial"/>
          <w:b/>
        </w:rPr>
        <w:t>.190.</w:t>
      </w:r>
      <w:r w:rsidR="00F76879">
        <w:rPr>
          <w:rFonts w:ascii="Arial Narrow" w:hAnsi="Arial Narrow" w:cs="Arial"/>
          <w:b/>
        </w:rPr>
        <w:t>202</w:t>
      </w:r>
      <w:r w:rsidR="00AC2891">
        <w:rPr>
          <w:rFonts w:ascii="Arial Narrow" w:hAnsi="Arial Narrow" w:cs="Arial"/>
          <w:b/>
        </w:rPr>
        <w:t>4</w:t>
      </w:r>
      <w:r w:rsidR="00AA3F70" w:rsidRPr="00155111">
        <w:rPr>
          <w:rFonts w:ascii="Arial Narrow" w:hAnsi="Arial Narrow" w:cs="Arial"/>
          <w:b/>
        </w:rPr>
        <w:t xml:space="preserve"> </w:t>
      </w:r>
    </w:p>
    <w:p w:rsidR="00AA3F70" w:rsidRPr="00155111" w:rsidRDefault="00CD7D88" w:rsidP="00CD7D88">
      <w:pPr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AA3F70">
        <w:rPr>
          <w:rFonts w:ascii="Arial Narrow" w:hAnsi="Arial Narrow" w:cs="Arial"/>
          <w:b/>
        </w:rPr>
        <w:t>Burmistrz</w:t>
      </w:r>
      <w:r w:rsidR="00F76879">
        <w:rPr>
          <w:rFonts w:ascii="Arial Narrow" w:hAnsi="Arial Narrow" w:cs="Arial"/>
          <w:b/>
        </w:rPr>
        <w:t>a</w:t>
      </w:r>
      <w:r w:rsidR="00AA3F70">
        <w:rPr>
          <w:rFonts w:ascii="Arial Narrow" w:hAnsi="Arial Narrow" w:cs="Arial"/>
          <w:b/>
        </w:rPr>
        <w:t xml:space="preserve"> </w:t>
      </w:r>
      <w:r w:rsidR="00C705D4">
        <w:rPr>
          <w:rFonts w:ascii="Arial Narrow" w:hAnsi="Arial Narrow" w:cs="Arial"/>
          <w:b/>
        </w:rPr>
        <w:t>Miasta Płońsk</w:t>
      </w:r>
    </w:p>
    <w:p w:rsidR="00AA3F70" w:rsidRPr="00132579" w:rsidRDefault="00CD7D88" w:rsidP="00132579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</w:t>
      </w:r>
      <w:r w:rsidR="00AA3F70" w:rsidRPr="00155111">
        <w:rPr>
          <w:rFonts w:ascii="Arial Narrow" w:hAnsi="Arial Narrow" w:cs="Arial"/>
          <w:b/>
        </w:rPr>
        <w:t xml:space="preserve">z dnia </w:t>
      </w:r>
      <w:r w:rsidR="00E95292">
        <w:rPr>
          <w:rFonts w:ascii="Arial Narrow" w:hAnsi="Arial Narrow" w:cs="Arial"/>
          <w:b/>
        </w:rPr>
        <w:t>11 grudnia</w:t>
      </w:r>
      <w:r w:rsidR="00AA3F70" w:rsidRPr="00155111">
        <w:rPr>
          <w:rFonts w:ascii="Arial Narrow" w:hAnsi="Arial Narrow" w:cs="Arial"/>
          <w:b/>
        </w:rPr>
        <w:t xml:space="preserve"> 20</w:t>
      </w:r>
      <w:r w:rsidR="00F76879">
        <w:rPr>
          <w:rFonts w:ascii="Arial Narrow" w:hAnsi="Arial Narrow" w:cs="Arial"/>
          <w:b/>
        </w:rPr>
        <w:t>2</w:t>
      </w:r>
      <w:r w:rsidR="00AC2891">
        <w:rPr>
          <w:rFonts w:ascii="Arial Narrow" w:hAnsi="Arial Narrow" w:cs="Arial"/>
          <w:b/>
        </w:rPr>
        <w:t>4</w:t>
      </w:r>
      <w:r w:rsidR="00AA3F70">
        <w:rPr>
          <w:rFonts w:ascii="Arial Narrow" w:hAnsi="Arial Narrow" w:cs="Arial"/>
          <w:b/>
        </w:rPr>
        <w:t xml:space="preserve"> </w:t>
      </w:r>
      <w:r w:rsidR="00AA3F70" w:rsidRPr="00155111">
        <w:rPr>
          <w:rFonts w:ascii="Arial Narrow" w:hAnsi="Arial Narrow" w:cs="Arial"/>
          <w:b/>
        </w:rPr>
        <w:t>r</w:t>
      </w:r>
      <w:r w:rsidR="00F76879">
        <w:rPr>
          <w:rFonts w:ascii="Arial Narrow" w:hAnsi="Arial Narrow" w:cs="Arial"/>
          <w:b/>
        </w:rPr>
        <w:t>.</w:t>
      </w:r>
    </w:p>
    <w:p w:rsidR="00AA3F70" w:rsidRDefault="00AA3F70" w:rsidP="00AA3F70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A3F70" w:rsidRPr="00931B78" w:rsidRDefault="00AA3F70" w:rsidP="00AA3F70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A3F70" w:rsidRPr="00412064" w:rsidRDefault="00931B78" w:rsidP="00B40995">
      <w:pPr>
        <w:pStyle w:val="Bezodstpw"/>
        <w:jc w:val="center"/>
        <w:rPr>
          <w:rFonts w:ascii="Arial Narrow" w:hAnsi="Arial Narrow"/>
          <w:b/>
        </w:rPr>
      </w:pPr>
      <w:bookmarkStart w:id="0" w:name="_Hlk523309491"/>
      <w:r w:rsidRPr="00931B78">
        <w:rPr>
          <w:rFonts w:ascii="Arial Narrow" w:hAnsi="Arial Narrow"/>
          <w:b/>
        </w:rPr>
        <w:t xml:space="preserve">WYKAZ UWAG WNIESIONYCH DO </w:t>
      </w:r>
      <w:r w:rsidR="00CF7541">
        <w:rPr>
          <w:rFonts w:ascii="Arial Narrow" w:hAnsi="Arial Narrow"/>
          <w:b/>
        </w:rPr>
        <w:t xml:space="preserve">PONOWNIE </w:t>
      </w:r>
      <w:r w:rsidRPr="00931B78">
        <w:rPr>
          <w:rFonts w:ascii="Arial Narrow" w:hAnsi="Arial Narrow"/>
          <w:b/>
        </w:rPr>
        <w:t xml:space="preserve">WYŁOŻONEGO DO </w:t>
      </w:r>
      <w:r w:rsidR="00412064" w:rsidRPr="00412064">
        <w:rPr>
          <w:rFonts w:ascii="Arial Narrow" w:hAnsi="Arial Narrow"/>
          <w:b/>
        </w:rPr>
        <w:t>PUBLICZNEGO WGLĄDU</w:t>
      </w:r>
    </w:p>
    <w:p w:rsidR="00AA3F70" w:rsidRDefault="00412064" w:rsidP="00132579">
      <w:pPr>
        <w:pStyle w:val="Bezodstpw"/>
        <w:jc w:val="center"/>
        <w:rPr>
          <w:rFonts w:ascii="Arial Narrow" w:hAnsi="Arial Narrow" w:cs="Arial"/>
          <w:b/>
          <w:color w:val="000000"/>
        </w:rPr>
      </w:pPr>
      <w:r w:rsidRPr="00412064">
        <w:rPr>
          <w:rFonts w:ascii="Arial Narrow" w:hAnsi="Arial Narrow"/>
          <w:b/>
        </w:rPr>
        <w:t>PROJEKTU</w:t>
      </w:r>
      <w:bookmarkEnd w:id="0"/>
      <w:r w:rsidRPr="00412064">
        <w:rPr>
          <w:rStyle w:val="Pogrubienie"/>
          <w:rFonts w:ascii="Arial Narrow" w:hAnsi="Arial Narrow" w:cs="Arial"/>
        </w:rPr>
        <w:t xml:space="preserve"> </w:t>
      </w:r>
      <w:r w:rsidR="00C705D4" w:rsidRPr="00C705D4">
        <w:rPr>
          <w:rFonts w:ascii="Arial Narrow" w:hAnsi="Arial Narrow" w:cs="Arial"/>
          <w:b/>
          <w:color w:val="000000"/>
        </w:rPr>
        <w:t>MIEJSCOWEGO PLANU ZAGOSPODAROWANIA PRZESTRZENNEGO MIASTA PŁOŃSK DLA: OBSZARU „MŁODZIEŻOWA”, OBSZARU „WARSZAWSKA - KWIATOWA", OBSZARU "SIENKIEWICZA", OBSZARU "WOJSKA POLSKIEGO"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855"/>
        <w:gridCol w:w="1671"/>
        <w:gridCol w:w="3088"/>
        <w:gridCol w:w="1619"/>
        <w:gridCol w:w="1274"/>
        <w:gridCol w:w="4996"/>
      </w:tblGrid>
      <w:tr w:rsidR="00B00012" w:rsidRPr="00A66225" w:rsidTr="007059F3">
        <w:trPr>
          <w:trHeight w:val="1163"/>
          <w:jc w:val="center"/>
        </w:trPr>
        <w:tc>
          <w:tcPr>
            <w:tcW w:w="492" w:type="dxa"/>
            <w:vMerge w:val="restart"/>
            <w:hideMark/>
          </w:tcPr>
          <w:p w:rsidR="00181C5D" w:rsidRPr="00A66225" w:rsidRDefault="00181C5D" w:rsidP="00D6796D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181C5D" w:rsidRPr="00A66225" w:rsidRDefault="00181C5D" w:rsidP="00D6796D">
            <w:pPr>
              <w:suppressAutoHyphens/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Data wpływu uwagi</w:t>
            </w:r>
          </w:p>
        </w:tc>
        <w:tc>
          <w:tcPr>
            <w:tcW w:w="0" w:type="auto"/>
            <w:vMerge w:val="restart"/>
            <w:hideMark/>
          </w:tcPr>
          <w:p w:rsidR="00181C5D" w:rsidRPr="00E861DA" w:rsidRDefault="00181C5D" w:rsidP="00D6796D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Imię i nazwisko</w:t>
            </w:r>
            <w:r w:rsidRPr="00E861DA">
              <w:rPr>
                <w:rFonts w:ascii="Arial Narrow" w:hAnsi="Arial Narrow" w:cs="Arial"/>
                <w:b/>
                <w:sz w:val="20"/>
                <w:szCs w:val="20"/>
              </w:rPr>
              <w:t>, nazwa jednostki organizacyjnej </w:t>
            </w:r>
            <w:r w:rsidRPr="00E861DA"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</w:p>
        </w:tc>
        <w:tc>
          <w:tcPr>
            <w:tcW w:w="0" w:type="auto"/>
            <w:vMerge w:val="restart"/>
            <w:hideMark/>
          </w:tcPr>
          <w:p w:rsidR="00181C5D" w:rsidRPr="00E861DA" w:rsidRDefault="00181C5D" w:rsidP="00D6796D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861DA">
              <w:rPr>
                <w:rFonts w:ascii="Arial Narrow" w:hAnsi="Arial Narrow" w:cs="Arial"/>
                <w:b/>
                <w:sz w:val="20"/>
                <w:szCs w:val="20"/>
              </w:rPr>
              <w:t xml:space="preserve">Oznaczenie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obszaru, którego dotyczy uwaga </w:t>
            </w:r>
          </w:p>
        </w:tc>
        <w:tc>
          <w:tcPr>
            <w:tcW w:w="0" w:type="auto"/>
            <w:gridSpan w:val="2"/>
            <w:hideMark/>
          </w:tcPr>
          <w:p w:rsidR="00181C5D" w:rsidRPr="00A66225" w:rsidRDefault="00181C5D" w:rsidP="00D6796D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Sposób rozstrzygnięcia uwagi przez Burmistrza</w:t>
            </w:r>
          </w:p>
        </w:tc>
        <w:tc>
          <w:tcPr>
            <w:tcW w:w="0" w:type="auto"/>
            <w:vMerge w:val="restart"/>
            <w:hideMark/>
          </w:tcPr>
          <w:p w:rsidR="00181C5D" w:rsidRPr="00A66225" w:rsidRDefault="00181C5D" w:rsidP="00D6796D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Uwagi</w:t>
            </w:r>
          </w:p>
        </w:tc>
      </w:tr>
      <w:tr w:rsidR="00B00012" w:rsidRPr="00A66225" w:rsidTr="007059F3">
        <w:trPr>
          <w:trHeight w:val="1407"/>
          <w:jc w:val="center"/>
        </w:trPr>
        <w:tc>
          <w:tcPr>
            <w:tcW w:w="492" w:type="dxa"/>
            <w:vMerge/>
            <w:hideMark/>
          </w:tcPr>
          <w:p w:rsidR="00181C5D" w:rsidRPr="00A66225" w:rsidRDefault="00181C5D" w:rsidP="00D6796D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hideMark/>
          </w:tcPr>
          <w:p w:rsidR="00181C5D" w:rsidRPr="00A66225" w:rsidRDefault="00181C5D" w:rsidP="00D6796D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hideMark/>
          </w:tcPr>
          <w:p w:rsidR="00181C5D" w:rsidRPr="00A66225" w:rsidRDefault="00181C5D" w:rsidP="00D6796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81C5D" w:rsidRPr="00A66225" w:rsidRDefault="00181C5D" w:rsidP="00D6796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hideMark/>
          </w:tcPr>
          <w:p w:rsidR="00181C5D" w:rsidRPr="00295B91" w:rsidRDefault="00181C5D" w:rsidP="00D6796D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5B91">
              <w:rPr>
                <w:rFonts w:ascii="Arial Narrow" w:hAnsi="Arial Narrow" w:cs="Arial"/>
                <w:b/>
                <w:sz w:val="20"/>
                <w:szCs w:val="20"/>
              </w:rPr>
              <w:t>Uwaga uwzględniona</w:t>
            </w:r>
          </w:p>
        </w:tc>
        <w:tc>
          <w:tcPr>
            <w:tcW w:w="0" w:type="auto"/>
            <w:textDirection w:val="btLr"/>
            <w:hideMark/>
          </w:tcPr>
          <w:p w:rsidR="00181C5D" w:rsidRPr="00295B91" w:rsidRDefault="00181C5D" w:rsidP="00D6796D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5B91">
              <w:rPr>
                <w:rFonts w:ascii="Arial Narrow" w:hAnsi="Arial Narrow" w:cs="Arial"/>
                <w:b/>
                <w:sz w:val="20"/>
                <w:szCs w:val="20"/>
              </w:rPr>
              <w:t>Uwaga nieuwzględniona</w:t>
            </w:r>
          </w:p>
        </w:tc>
        <w:tc>
          <w:tcPr>
            <w:tcW w:w="0" w:type="auto"/>
            <w:vMerge/>
            <w:hideMark/>
          </w:tcPr>
          <w:p w:rsidR="00181C5D" w:rsidRPr="00A66225" w:rsidRDefault="00181C5D" w:rsidP="00D6796D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tcBorders>
              <w:bottom w:val="single" w:sz="4" w:space="0" w:color="000000"/>
            </w:tcBorders>
            <w:vAlign w:val="center"/>
            <w:hideMark/>
          </w:tcPr>
          <w:p w:rsidR="00181C5D" w:rsidRPr="00A66225" w:rsidRDefault="00181C5D" w:rsidP="00D679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181C5D" w:rsidRPr="00A66225" w:rsidRDefault="00181C5D" w:rsidP="00D679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181C5D" w:rsidRPr="00A66225" w:rsidRDefault="00181C5D" w:rsidP="00D679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6225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181C5D" w:rsidRPr="00A66225" w:rsidRDefault="00181C5D" w:rsidP="00D679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Pr="00A66225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181C5D" w:rsidRPr="00A66225" w:rsidRDefault="00181C5D" w:rsidP="00D6796D">
            <w:pPr>
              <w:suppressAutoHyphens/>
              <w:spacing w:before="120"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</w:t>
            </w: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181C5D" w:rsidRPr="00A66225" w:rsidRDefault="00181C5D" w:rsidP="00D6796D">
            <w:pPr>
              <w:suppressAutoHyphens/>
              <w:spacing w:before="120"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181C5D" w:rsidRPr="00A66225" w:rsidRDefault="00181C5D" w:rsidP="00D6796D">
            <w:pPr>
              <w:suppressAutoHyphens/>
              <w:spacing w:before="120" w:after="0" w:line="240" w:lineRule="auto"/>
              <w:ind w:left="-817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>7</w:t>
            </w:r>
            <w:r w:rsidRPr="00A66225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>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DC57FB" w:rsidRPr="009457A3" w:rsidRDefault="006C0E56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DC57FB" w:rsidRDefault="006C0E56" w:rsidP="00D679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6C0E56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DC57FB" w:rsidRDefault="006C0E56" w:rsidP="00352F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Tereny oznaczone symbolami </w:t>
            </w:r>
            <w:r w:rsidR="00F07E0C">
              <w:rPr>
                <w:rFonts w:ascii="Arial Narrow" w:hAnsi="Arial Narrow"/>
                <w:sz w:val="20"/>
                <w:szCs w:val="20"/>
              </w:rPr>
              <w:t xml:space="preserve">1KDL, 3KDL, 6KDL, 7KDL, </w:t>
            </w:r>
            <w:r>
              <w:rPr>
                <w:rFonts w:ascii="Arial Narrow" w:hAnsi="Arial Narrow"/>
                <w:sz w:val="20"/>
                <w:szCs w:val="20"/>
              </w:rPr>
              <w:t>1KDD, 5KDD, 8KDD, dz. ewid. 14/1, 14/2 miasto Płońsk</w:t>
            </w:r>
          </w:p>
        </w:tc>
        <w:tc>
          <w:tcPr>
            <w:tcW w:w="0" w:type="auto"/>
            <w:hideMark/>
          </w:tcPr>
          <w:p w:rsidR="00DC57FB" w:rsidRPr="005F234B" w:rsidRDefault="006C0E56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DC57FB" w:rsidRPr="00352F1A" w:rsidRDefault="00DC57FB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0" w:type="auto"/>
            <w:hideMark/>
          </w:tcPr>
          <w:p w:rsidR="00DC57FB" w:rsidRDefault="00366E99" w:rsidP="006C0E56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1 - u</w:t>
            </w:r>
            <w:r w:rsidR="006C0E56">
              <w:rPr>
                <w:rFonts w:ascii="Arial Narrow" w:hAnsi="Arial Narrow" w:cs="Arial"/>
                <w:color w:val="000000"/>
                <w:sz w:val="20"/>
                <w:szCs w:val="20"/>
              </w:rPr>
              <w:t>waga dotyczy wyznaczenia nadmiernej ilości dróg obsługujących obszar planu. Osoba składająca uwagę wnosi o likwidację dróg 1KDD, 5KDD, 8KDD.</w:t>
            </w:r>
          </w:p>
          <w:p w:rsidR="006C0E56" w:rsidRDefault="006C0E56" w:rsidP="006C0E56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Drogi wymienione w uwadze zostały wyznaczone w celu ułatwienia parcelacji terenów inwestycyjnych na działki budowlane. Likwidacja dróg nie spowoduje braku dostępu nieruchomości do dróg publicznych, konieczne będzie jednak wytyczenie przez ich właścicieli dodatkowych dojazdów do wydzielanych w skutek podziałów nieruchomości działek budowlanych.</w:t>
            </w:r>
          </w:p>
          <w:p w:rsidR="00366E99" w:rsidRDefault="00366E99" w:rsidP="00366E9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Pkt. 2 - uwaga dotyczy zwężenia dróg </w:t>
            </w:r>
            <w:r>
              <w:rPr>
                <w:rFonts w:ascii="Arial Narrow" w:hAnsi="Arial Narrow"/>
                <w:sz w:val="20"/>
                <w:szCs w:val="20"/>
              </w:rPr>
              <w:t>1KDL, 3KDL, 6KDL, 7KDL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do 10 m (z ustalonej w planie odpowiednio na10m, 12 m, 12 m, 20 m).</w:t>
            </w:r>
          </w:p>
          <w:p w:rsidR="00366E99" w:rsidRDefault="00366E99" w:rsidP="00366E9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Zwężenie przedmiotowych dróg nie spowoduje znaczących utrudnień w obsłudze komunikacyjnej terenów w obszarze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sporządzanego planu.  Należy jednak zaznaczyć, że droga 1KDL na działkach objętych uwagą już obecnie ma szerokość 10 m, tym samym wykonywanie zmian w jej przebiegu w skutek uwzględnienia uwagi nie będzie konieczne.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DC57FB" w:rsidRPr="009457A3" w:rsidRDefault="006C0E56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DC57FB" w:rsidRDefault="006C0E56" w:rsidP="00D679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DC57FB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DC57FB" w:rsidRDefault="003A149F" w:rsidP="0007567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1KDZ, dz. ewid. 14/1, 14/2 miasto Płońsk</w:t>
            </w:r>
          </w:p>
        </w:tc>
        <w:tc>
          <w:tcPr>
            <w:tcW w:w="0" w:type="auto"/>
            <w:hideMark/>
          </w:tcPr>
          <w:p w:rsidR="00DC57FB" w:rsidRPr="005F234B" w:rsidRDefault="003A149F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DC57FB" w:rsidRPr="00352F1A" w:rsidRDefault="003A149F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DC57FB" w:rsidRDefault="003A149F" w:rsidP="003A149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zmiany przebiegu drogi 1KDZ lub jej zwężenia do 10 m (z ustalonej w planie na 15 m) wraz z ewentualną zmianą jej klasy technicznej na lokalną. Dodatkowo osoba składająca uwagę wniosła o wyznaczenie pasa zieleni izolacyjnej pomiędzy istniejąca zabudową mieszkaniową a przedmiotową drogą.</w:t>
            </w:r>
          </w:p>
          <w:p w:rsidR="003A149F" w:rsidRDefault="003A149F" w:rsidP="003A149F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Zmiana klasy technicznej drogi na lokalną powodowałaby niezgodność ze studium uwarunkowań i kierunków zagospodarowania przestrzennego miasta Płońsk. W skutek uwag złożonych w pierwszym wyłożeniu droga została już zwężona z 20 m do 15 m. Zmiana szerokości drogi wnoszona w uwadze skutkowałaby zmianą jej funkcji w układzie komunikacyjnym obsługującym obszar planu. Dalsze zwężenie drogi, przy zachowaniu jej funkcji jest możliwe jedynie do szerokości 12 m. Wyznaczenie pasa zieleni izolacyjnej pomiędzy drogą 1KDZ a istniejącą zabudową mieszkaniową ma uzasadnienie środowiskowe (ograniczenie uciążliwości dla mieszkańców). Szerokość pasa zieleni nie może powodować jednak znaczących utrudnień w zagospodarowaniu terenów, na które droga ta zostanie przesunięta</w:t>
            </w:r>
            <w:r w:rsidR="0007567B">
              <w:rPr>
                <w:rFonts w:ascii="Arial Narrow" w:hAnsi="Arial Narrow" w:cs="Arial"/>
                <w:color w:val="000000"/>
                <w:sz w:val="20"/>
                <w:szCs w:val="20"/>
              </w:rPr>
              <w:t>, tj. pas zieleni izolacyjnej nie może być szerszy niż 5 m.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07567B" w:rsidRPr="009457A3" w:rsidRDefault="0007567B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hideMark/>
          </w:tcPr>
          <w:p w:rsidR="0007567B" w:rsidRDefault="0007567B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07567B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07567B" w:rsidRDefault="0007567B" w:rsidP="0007567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7KDL, dz. ewid. 14/1, 14/2 miasto Płońsk</w:t>
            </w:r>
          </w:p>
        </w:tc>
        <w:tc>
          <w:tcPr>
            <w:tcW w:w="0" w:type="auto"/>
            <w:hideMark/>
          </w:tcPr>
          <w:p w:rsidR="0007567B" w:rsidRPr="005F234B" w:rsidRDefault="0007567B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07567B" w:rsidRPr="00352F1A" w:rsidRDefault="0007567B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0" w:type="auto"/>
            <w:hideMark/>
          </w:tcPr>
          <w:p w:rsidR="0007567B" w:rsidRDefault="0007567B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zwężenia drogi 7KDL do 10 m (z ustalonej w planie na 20 m).</w:t>
            </w:r>
          </w:p>
          <w:p w:rsidR="0007567B" w:rsidRDefault="0007567B" w:rsidP="00366E9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Zwężenie przedmiotowej drogi nie spowoduje znaczących utrudnień w obsłudze komunikacyjnej terenów w obszarze sporządzanego planu.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07567B" w:rsidRPr="009457A3" w:rsidRDefault="0007567B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07567B" w:rsidRDefault="0007567B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07567B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07567B" w:rsidRDefault="0007567B" w:rsidP="006221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1KDZ, dz. ewid. 14/1, 14/2 miasto Płońsk</w:t>
            </w:r>
          </w:p>
        </w:tc>
        <w:tc>
          <w:tcPr>
            <w:tcW w:w="0" w:type="auto"/>
            <w:hideMark/>
          </w:tcPr>
          <w:p w:rsidR="0007567B" w:rsidRPr="005F234B" w:rsidRDefault="0007567B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07567B" w:rsidRPr="00352F1A" w:rsidRDefault="0007567B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07567B" w:rsidRDefault="0007567B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zmiany przebiegu drogi 1KDZ lub jej zwężenia do 10 m (z ustalonej w planie na 15 m).</w:t>
            </w:r>
            <w:r w:rsidR="0081175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W uwadze wskazano również, że proponowany przebieg drogi 1KDZ jest niezgodny ze studium uwarunkowań i kierunków zagospodarowania przestrzennego miasta Płońsk.</w:t>
            </w:r>
          </w:p>
          <w:p w:rsidR="0007567B" w:rsidRDefault="00811754" w:rsidP="0007567B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 skutek uwag złożonych w pierwszym wyłożeniu droga została już zwężona z 20 m do 15 m. Zmiana szerokości drogi wnoszona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w uwadze skutkowałaby zmianą jej funkcji w układzie komunikacyjnym obsługującym obszar planu. Dalsze zwężenie drogi, przy zachowaniu jej funkcji jest możliwe jedynie do szerokości 12 m. Odsuni</w:t>
            </w:r>
            <w:r w:rsidR="0075523F">
              <w:rPr>
                <w:rFonts w:ascii="Arial Narrow" w:hAnsi="Arial Narrow" w:cs="Arial"/>
                <w:color w:val="000000"/>
                <w:sz w:val="20"/>
                <w:szCs w:val="20"/>
              </w:rPr>
              <w:t>ę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cie korytarza drogi od istniejącej zabudowy mieszkaniowej ma uzasadnienie środowiskowe (ograniczenie uciążliwości dla mieszkańców). Odległość na jaką  może być odsunięta droga 1KDZ nie może powodować jednak znaczących utrudnień w zagospodarowaniu terenów, na które droga ta zostanie przesunięta, tj. odległość ta nie może być większa niż 5 m</w:t>
            </w:r>
            <w:r w:rsidR="0007567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Przebieg drogi wskazany w projekcie planu jest zgodny z kierunkami polityki przestrzennej miasta Płońsk i spełnia on wymagania osiowego wyprowadzenia ruchu komunikacyjnego z nowych kwartałów zabudowy mieszkaniowej poza obszar planu. Zmiana przebiegu drogi w inne miejsce skutkowałaby zachwianiem przebiegu potoków ruchu komunikacyjnego oraz wymagałaby wyburzenia istniejących budynków mieszkalnych.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D33E58" w:rsidRPr="009457A3" w:rsidRDefault="00D33E58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5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D33E58" w:rsidRDefault="00D33E58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D33E58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D33E58" w:rsidRDefault="00D33E58" w:rsidP="006221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Obszar planu, dz. ewid. 14/1, 14/2 miasto Płońsk</w:t>
            </w:r>
          </w:p>
        </w:tc>
        <w:tc>
          <w:tcPr>
            <w:tcW w:w="0" w:type="auto"/>
            <w:hideMark/>
          </w:tcPr>
          <w:p w:rsidR="00D33E58" w:rsidRPr="005F234B" w:rsidRDefault="00D33E58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D33E58" w:rsidRPr="00352F1A" w:rsidRDefault="00D33E58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D33E58" w:rsidRDefault="00D33E58" w:rsidP="00D33E58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Uwaga dotyczy obniżenia stawki renty planistycznej </w:t>
            </w:r>
            <w:r w:rsidR="00811754">
              <w:rPr>
                <w:rFonts w:ascii="Arial Narrow" w:hAnsi="Arial Narrow" w:cs="Arial"/>
                <w:color w:val="000000"/>
                <w:sz w:val="20"/>
                <w:szCs w:val="20"/>
              </w:rPr>
              <w:t>ustalonej dla terenów inwestycyjnych do 15% (z ustalonej w projekcie planu na 30%).</w:t>
            </w:r>
          </w:p>
          <w:p w:rsidR="00811754" w:rsidRDefault="00811754" w:rsidP="00811754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Przyjęta w projekcie planu stawka renty planistycznej ma umożliwić zabezpieczenie przez miasto środków na uzbrojenie terenów objętych projektem planu w infrastrukturę techniczną oraz realizację wyznaczonych w nim dróg publicznych.  Wnoszona zmiana stawki renty planistycznej uniemożliwi realizację wymienionych powyżej celów. Możliwe jest jedynie nieznaczne obniżenie tej stawki do 25%. Różnica ta może ułatwić dla właścicieli gruntów przygotowanie inwestycyjne nowych terenów budowlanych.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811754" w:rsidRPr="009457A3" w:rsidRDefault="00811754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811754" w:rsidRDefault="00811754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811754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811754" w:rsidRDefault="00811754" w:rsidP="008117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Tereny oznaczone symbolami 1MNW-MNB, 6MNW-MNB, 9MNW-MNB, 12MNW-MNB, 15MNW-MNB, dz. ewid. 14/1, 14/2 miasto Płońsk</w:t>
            </w:r>
          </w:p>
        </w:tc>
        <w:tc>
          <w:tcPr>
            <w:tcW w:w="0" w:type="auto"/>
            <w:hideMark/>
          </w:tcPr>
          <w:p w:rsidR="00811754" w:rsidRPr="005F234B" w:rsidRDefault="00811754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811754" w:rsidRPr="00352F1A" w:rsidRDefault="00811754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811754" w:rsidRDefault="00811754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dopuszczenia realizacji zabudowy usługowej na terenach MNW-MNB nią objętych.</w:t>
            </w:r>
          </w:p>
          <w:p w:rsidR="00811754" w:rsidRDefault="00811754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Tereny objęte uwagą stanowią uspokojony obszar zabudowy mieszkaniowej w typie podmiejskim. Dopuszczenie realizacji usług w tym rejonie planu powodowałoby zmianę charakteru tych terenów. Realizacja zabudowy usługowej mogłaby stanowić uciążliwości dla zabudowy mieszkaniowej i w konsekwencji prowadzić do powstania konfliktów przestrzennych.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811754" w:rsidRPr="009457A3" w:rsidRDefault="00811754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7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811754" w:rsidRDefault="00811754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811754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811754" w:rsidRDefault="00811754" w:rsidP="008117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Tereny oznaczone symbolami 1MNW-MNB, 4MNW-MNB-U, 6MNW-MNB,  9MNW-MNB, 12MNW-MNB, dz. ewid. 14/1, 14/2 miasto Płońsk</w:t>
            </w:r>
          </w:p>
        </w:tc>
        <w:tc>
          <w:tcPr>
            <w:tcW w:w="0" w:type="auto"/>
            <w:hideMark/>
          </w:tcPr>
          <w:p w:rsidR="00811754" w:rsidRPr="005F234B" w:rsidRDefault="00811754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811754" w:rsidRPr="00352F1A" w:rsidRDefault="00811754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0" w:type="auto"/>
            <w:hideMark/>
          </w:tcPr>
          <w:p w:rsidR="00811754" w:rsidRDefault="00811754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Uwaga dotyczy zmniejszenia minimalnej powierzchni działki dla terenów objętych uwagą do 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</w:rPr>
              <w:t>600 m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dla zabudowy wolnostojącej i 400 m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dla zabudowy bliźniaczej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oraz frontu działki 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</w:rPr>
              <w:t>na 16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  <w:p w:rsidR="00811754" w:rsidRDefault="00811754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Podnoszone w uwadze zmiany parametrów urbanistycznych są zgodne z przyjętymi w projekcie planu. Uwzględnienie uwagi nie będzie powodować konieczności wprowadzania zmian w treści projektu uchwały.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811754" w:rsidRPr="009457A3" w:rsidRDefault="00811754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811754" w:rsidRDefault="00811754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811754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811754" w:rsidRDefault="00811754" w:rsidP="008117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1KDZ, dz. ewid. 14/3, 14/4</w:t>
            </w:r>
            <w:r w:rsidR="00B70BF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miasto Płońsk</w:t>
            </w:r>
          </w:p>
        </w:tc>
        <w:tc>
          <w:tcPr>
            <w:tcW w:w="0" w:type="auto"/>
            <w:hideMark/>
          </w:tcPr>
          <w:p w:rsidR="00811754" w:rsidRPr="005F234B" w:rsidRDefault="00811754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811754" w:rsidRPr="00352F1A" w:rsidRDefault="00811754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811754" w:rsidRDefault="00811754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zmiany przebiegu drogi 1KDZ w sposób umożliwiający większe odsuniecie jej od istniejącej zabudowy mieszkaniowej  oraz jej zwężenia do 10 m (z ustalonej w planie na 15 m).</w:t>
            </w:r>
          </w:p>
          <w:p w:rsidR="00811754" w:rsidRDefault="00811754" w:rsidP="00811754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 skutek uwag złożonych w pierwszym wyłożeniu droga została już zwężona z 20 m do 15 m. Zmiana szerokości drogi wnoszona w uwadze skutkowałaby zmianą jej funkcji w układzie komunikacyjnym obsługującym obszar planu. Dalsze zwężenie drogi, przy zachowaniu jej funkcji jest możliwe jedynie do szerokości 12 m. Odsuni</w:t>
            </w:r>
            <w:r w:rsidR="0075523F">
              <w:rPr>
                <w:rFonts w:ascii="Arial Narrow" w:hAnsi="Arial Narrow" w:cs="Arial"/>
                <w:color w:val="000000"/>
                <w:sz w:val="20"/>
                <w:szCs w:val="20"/>
              </w:rPr>
              <w:t>ę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cie korytarza drogi od istniejącej zabudowy mieszkaniowej ma uzasadnienie środowiskowe (ograniczenie uciążliwości dla mieszkańców). Odległość na jaką  może być odsunięta droga 1KDZ nie może powodować jednak znaczących utrudnień w zagospodarowaniu terenów, na które droga ta zostanie przesunięta, tj. odległość ta nie może być większa niż 5 m.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811754" w:rsidRPr="009457A3" w:rsidRDefault="00811754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9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811754" w:rsidRDefault="00811754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811754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811754" w:rsidRDefault="00811754" w:rsidP="006221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1KDZ, dz. ewid. 14/3, 14/4</w:t>
            </w:r>
            <w:r w:rsidR="00B70BF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miasto Płońsk</w:t>
            </w:r>
          </w:p>
        </w:tc>
        <w:tc>
          <w:tcPr>
            <w:tcW w:w="0" w:type="auto"/>
            <w:hideMark/>
          </w:tcPr>
          <w:p w:rsidR="00811754" w:rsidRPr="005F234B" w:rsidRDefault="00811754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811754" w:rsidRPr="00352F1A" w:rsidRDefault="00811754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0" w:type="auto"/>
            <w:hideMark/>
          </w:tcPr>
          <w:p w:rsidR="00811754" w:rsidRDefault="00811754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Uwaga dotyczy zastosowania w projekcie planu pasów zieleni izolacyjnej pomiędzy drogą 1KDZ o znajdującą się na działkach objętych uwagą zabudową mieszkaniową. Wyznaczone pasy zieleni izolacyjnej zgodnie z uwagą mają na celu zmniejszenie uciążliwości tej drogi dla istniejącej zabudowy mieszkaniowej. </w:t>
            </w:r>
          </w:p>
          <w:p w:rsidR="00811754" w:rsidRDefault="00811754" w:rsidP="00811754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Wyznaczenie pasa zieleni izolacyjnej pomiędzy projektowaną drog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ą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 istniejącą zabudową mieszkaniową ma uzasadnienie środowiskowe </w:t>
            </w:r>
            <w:r w:rsidR="0075523F">
              <w:rPr>
                <w:rFonts w:ascii="Arial Narrow" w:hAnsi="Arial Narrow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ograniczenie uciążliwości dla mieszkańców). Szerokość pasa zieleni izolacyjnej, zgodnie z rozstrzygnięciem innych uwag może wynosić maksymalnie 5 m. Zwiększenie tej szerokości powodowałoby znaczące utrudnienia w zagospodarowaniu działek, na które droga 1KDZ zostałaby przesunięta.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811754" w:rsidRPr="009457A3" w:rsidRDefault="00811754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10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811754" w:rsidRDefault="00811754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811754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811754" w:rsidRDefault="00811754" w:rsidP="008117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1KDZ, dz. ewid. 14/3, 14/4 miasto Płońsk</w:t>
            </w:r>
          </w:p>
        </w:tc>
        <w:tc>
          <w:tcPr>
            <w:tcW w:w="0" w:type="auto"/>
            <w:hideMark/>
          </w:tcPr>
          <w:p w:rsidR="00811754" w:rsidRPr="005F234B" w:rsidRDefault="00811754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811754" w:rsidRPr="00352F1A" w:rsidRDefault="00811754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811754" w:rsidRDefault="00811754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zmiany przebiegu drogi 1KDZ lub jej zwężenia do 10 m (z ustalonej w planie na 15 m) wraz z ewentualną zmianą jej klasy technicznej na lokalną. Dodatkowo osoba składająca uwagę wniosła o wyznaczenie pasa zieleni izolacyjnej pomiędzy istniejąc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ą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zabudową mieszkaniową a przedmiotową drogą.</w:t>
            </w:r>
          </w:p>
          <w:p w:rsidR="00811754" w:rsidRDefault="00811754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Zmiana klasy technicznej drogi na lokalną powodowałaby niezgodność ze studium uwarunkowań i kierunków zagospodarowania przestrzennego miasta Płońsk. W skutek uwag złożonych w pierwszym wyłożeniu droga została już zwężona z 20 m do 15 m. Zmiana szerokości drogi wnoszona w uwadze skutkowałaby zmianą jej funkcji w układzie komunikacyjnym obsługującym obszar planu. Dalsze zwężenie drogi, przy zachowaniu jej funkcji jest możliwe jedynie do szerokości 12 m. Wyznaczenie pasa zieleni izolacyjnej pomiędzy drogą 1KDZ a istniejącą zabudową mieszkaniową ma uzasadnienie środowiskowe (ograniczenie uciążliwości dla mieszkańców). Szerokość pasa zieleni nie może powodować jednak znaczących utrudnień w zagospodarowaniu terenów, na które droga ta zostanie przesunięta, tj. pas zieleni izolacyjnej nie może być szerszy niż 5 m.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EB75D9" w:rsidRPr="009457A3" w:rsidRDefault="00EB75D9" w:rsidP="00622133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11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EB75D9" w:rsidRDefault="00EB75D9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EB75D9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EB75D9" w:rsidRDefault="00EB75D9" w:rsidP="00EB75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1KDZ, dz. ewid. 14/3, 14/4 miasto Płońsk</w:t>
            </w:r>
          </w:p>
        </w:tc>
        <w:tc>
          <w:tcPr>
            <w:tcW w:w="0" w:type="auto"/>
            <w:hideMark/>
          </w:tcPr>
          <w:p w:rsidR="00EB75D9" w:rsidRPr="005F234B" w:rsidRDefault="00EB75D9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EB75D9" w:rsidRPr="00352F1A" w:rsidRDefault="00EB75D9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EB75D9" w:rsidRDefault="00EB75D9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zmiany przebiegu drogi 1KDZ (poprzez odsuni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ę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cie jej od istniejącej zabudowy mieszkaniowej na działkach objętych uwagą) wraz ze zmianą jej klasy technicznej na lokalną.</w:t>
            </w:r>
          </w:p>
          <w:p w:rsidR="00EB75D9" w:rsidRDefault="00EB75D9" w:rsidP="00EB75D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Zmiana klasy technicznej drogi na lokalną powodowałaby niezgodność ze studium uwarunkowań i kierunków zagospodarowania przestrzennego miasta Płońsk. Odsunięcie drogi od istniejącej zabudowy ma uzasadnienie środowiskowe (ograniczenie uciążliwości dla mieszkańców). W wyniku zmiany przebiegu drogi zostanie wyznaczony pas zieleni izolacyjnej pomiędzy tą drog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ą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 istniejąc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ą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zabudow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ą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mieszkaniową na działkach objętych uwagą. Szerokość pasa zieleni nie może powodować jednak znaczących utrudnień w zagospodarowaniu terenów, na które droga ta zostanie przesunięta, tj. pas zieleni izolacyjnej nie może być szerszy niż 5 m.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EB75D9" w:rsidRPr="009457A3" w:rsidRDefault="00EB75D9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12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EB75D9" w:rsidRDefault="00EB75D9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EB75D9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EB75D9" w:rsidRDefault="00EB75D9" w:rsidP="006221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1KDZ, dz. ewid. 14/3, 14/4 miasto Płońsk</w:t>
            </w:r>
          </w:p>
        </w:tc>
        <w:tc>
          <w:tcPr>
            <w:tcW w:w="0" w:type="auto"/>
            <w:hideMark/>
          </w:tcPr>
          <w:p w:rsidR="00EB75D9" w:rsidRPr="005F234B" w:rsidRDefault="00EB75D9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EB75D9" w:rsidRPr="00352F1A" w:rsidRDefault="00EB75D9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EB75D9" w:rsidRDefault="00EB75D9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zmiany przebiegu drogi 1KDZ  poprzez przesuni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ę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cie jej na tereny niezabudowane na działkach sąsiednich. W uwadze wskazano również, że proponowany przebieg drogi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1KDZ jest niezgodny ze studium uwarunkowań i kierunków zagospodarowania przestrzennego miasta Płońsk.</w:t>
            </w:r>
          </w:p>
          <w:p w:rsidR="00EB75D9" w:rsidRDefault="00EB75D9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Odsuni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ę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cie korytarza drogi od istniejącej zabudowy mieszkaniowej ma uzasadnienie środowiskowe (ograniczenie uciążliwości dla mieszkańców). Odległość na jaką  może być odsunięta droga 1KDZ nie może powodować jednak znaczących utrudnień w zagospodarowaniu terenów, na które droga ta zostanie przesunięta, tj. odległość ta nie może być większa niż 5 m. Przebieg drogi wskazany w projekcie planu jest zgodny z kierunkami polityki przestrzennej miasta Płońsk i spełnia on wymagania osiowego wyprowadzenia ruchu komunikacyjnego z nowych kwartałów zabudowy mieszkaniowej poza obszar planu. Zmiana przebiegu drogi w inne miejsce skutkowałaby zachwianiem przebiegu potoków ruchu komunikacyjnego oraz wymagałaby wyburzenia istniejących budynków mieszkalnych.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EB75D9" w:rsidRPr="009457A3" w:rsidRDefault="00EB75D9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13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EB75D9" w:rsidRDefault="00EB75D9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EB75D9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EB75D9" w:rsidRDefault="00EB75D9" w:rsidP="00352F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1KDZ, dz. ewid. 14/3, 14/4 miasto Płońsk</w:t>
            </w:r>
          </w:p>
        </w:tc>
        <w:tc>
          <w:tcPr>
            <w:tcW w:w="0" w:type="auto"/>
            <w:hideMark/>
          </w:tcPr>
          <w:p w:rsidR="00EB75D9" w:rsidRPr="005F234B" w:rsidRDefault="00EB75D9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EB75D9" w:rsidRPr="00352F1A" w:rsidRDefault="00EB75D9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EB75D9" w:rsidRDefault="00EB75D9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zmiany przebiegu drogi 1KDZ lub jej zwężenia do 10 m (z ustalonej w planie na 15 m) wraz z ewentualną zmianą jej klasy technicznej na lokalną. Dodatkowo osoba składająca uwagę wniosła o wyznaczenie pasa zieleni izolacyjnej pomiędzy istniejąca zabudową mieszkaniową a przedmiotową drogą.</w:t>
            </w:r>
          </w:p>
          <w:p w:rsidR="00EB75D9" w:rsidRDefault="00EB75D9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Zmiana klasy technicznej drogi na lokalną powodowałaby niezgodność ze studium uwarunkowań i kierunków zagospodarowania przestrzennego miasta Płońsk. W skutek uwag złożonych w pierwszym wyłożeniu droga została już zwężona z 20 m do 15 m. Zmiana szerokości drogi wnoszona w uwadze skutkowałaby zmianą jej funkcji w układzie komunikacyjnym obsługującym obszar planu. Dalsze zwężenie drogi, przy zachowaniu jej funkcji jest możliwe jedynie do szerokości 12 m. Wyznaczenie pasa zieleni izolacyjnej pomiędzy drogą 1KDZ a istniejącą zabudową mieszkaniową ma uzasadnienie środowiskowe (ograniczenie uciążliwości dla mieszkańców). Szerokość pasa zieleni nie może powodować jednak znaczących utrudnień w zagospodarowaniu terenów, na które droga ta zostanie przesunięta, tj. pas zieleni izolacyjnej nie może być szerszy niż 5 m.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EB75D9" w:rsidRPr="009457A3" w:rsidRDefault="00EB75D9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14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EB75D9" w:rsidRDefault="00EB75D9" w:rsidP="00622133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EB75D9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EB75D9" w:rsidRDefault="00EB75D9" w:rsidP="00EB75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1MNW-MNB-U</w:t>
            </w:r>
            <w:r w:rsidR="00622133">
              <w:rPr>
                <w:rFonts w:ascii="Arial Narrow" w:hAnsi="Arial Narrow"/>
                <w:sz w:val="20"/>
                <w:szCs w:val="20"/>
              </w:rPr>
              <w:t>, obszar planu</w:t>
            </w:r>
            <w:r>
              <w:rPr>
                <w:rFonts w:ascii="Arial Narrow" w:hAnsi="Arial Narrow"/>
                <w:sz w:val="20"/>
                <w:szCs w:val="20"/>
              </w:rPr>
              <w:t>, dz. ewid. 2/1, 2/2, 2/3 miasto Płońsk</w:t>
            </w:r>
          </w:p>
        </w:tc>
        <w:tc>
          <w:tcPr>
            <w:tcW w:w="0" w:type="auto"/>
            <w:hideMark/>
          </w:tcPr>
          <w:p w:rsidR="00EB75D9" w:rsidRPr="005F234B" w:rsidRDefault="00622133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pkt. 3, pkt. 4 część</w:t>
            </w:r>
          </w:p>
        </w:tc>
        <w:tc>
          <w:tcPr>
            <w:tcW w:w="0" w:type="auto"/>
            <w:hideMark/>
          </w:tcPr>
          <w:p w:rsidR="00EB75D9" w:rsidRPr="00352F1A" w:rsidRDefault="00622133" w:rsidP="00622133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 xml:space="preserve">X pkt. 1, pkt. 2, pkt. 4 część </w:t>
            </w:r>
          </w:p>
        </w:tc>
        <w:tc>
          <w:tcPr>
            <w:tcW w:w="0" w:type="auto"/>
            <w:hideMark/>
          </w:tcPr>
          <w:p w:rsidR="00EB75D9" w:rsidRDefault="00EB75D9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Pkt. 1 – </w:t>
            </w:r>
            <w:r w:rsidRPr="00EB75D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uwaga dotyczy </w:t>
            </w:r>
            <w:r w:rsidRPr="00EB75D9">
              <w:rPr>
                <w:rFonts w:ascii="Arial Narrow" w:hAnsi="Arial Narrow"/>
                <w:color w:val="000000"/>
                <w:sz w:val="20"/>
                <w:szCs w:val="20"/>
              </w:rPr>
              <w:t>zwiększenie powierzchni przeznaczenia uzupełniającego do 70% pow. całkowitej obiektów realizowanych na działce i do 50% pow. działki w przeznaczeniu podstawowym (§ 4 pkt 7)</w:t>
            </w:r>
            <w:r w:rsidR="006852AB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:rsidR="00EB75D9" w:rsidRDefault="00622133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nie ma uzasadnienia formalnego. Na terenie objętym uwagą w projekcie planu nie ustala się przeznaczenia uzupełniającego. Zabudowa mieszkaniowa i usługowa może być realizowana na działce budowlanej bez wskazywania ograniczeń w ich wzajemnych proporcjach.</w:t>
            </w:r>
          </w:p>
          <w:p w:rsidR="00622133" w:rsidRDefault="00622133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2 – uwaga dotyczy dopuszczenia realizacji w terenie objętym uwagą usług w zakresie odnowy biologicznej oraz projektowania i pracy twórczej.</w:t>
            </w:r>
          </w:p>
          <w:p w:rsidR="00622133" w:rsidRDefault="00622133" w:rsidP="00622133">
            <w:pPr>
              <w:pStyle w:val="Bezodstpw"/>
              <w:jc w:val="lef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22133">
              <w:rPr>
                <w:rFonts w:ascii="Arial Narrow" w:hAnsi="Arial Narrow" w:cs="Arial"/>
                <w:color w:val="000000"/>
                <w:sz w:val="20"/>
                <w:szCs w:val="20"/>
              </w:rPr>
              <w:t>Profil usług dopuszczonych do realizacji na terenie objętym uwag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ą</w:t>
            </w:r>
            <w:r w:rsidRPr="0062213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jest zgodny z </w:t>
            </w:r>
            <w:r w:rsidRPr="00622133">
              <w:rPr>
                <w:rFonts w:ascii="Arial Narrow" w:hAnsi="Arial Narrow"/>
                <w:sz w:val="20"/>
                <w:szCs w:val="20"/>
              </w:rPr>
              <w:t xml:space="preserve">Rozporządzeniem Ministra Rozwoju i Technologii z dnia 17 grudnia 2021 r. w sprawie wymaganego zakresu projektu miejscowego planu zagospodarowania przestrzennego (Dz. U. z 2021 r. poz. 2404). Wnoszone w uwadze formy działalności usługowej zgodnie z cytowanymi przepisami zawierają się w usługach </w:t>
            </w:r>
            <w:r w:rsidRPr="00622133">
              <w:rPr>
                <w:rFonts w:ascii="Arial Narrow" w:hAnsi="Arial Narrow" w:cs="Arial"/>
                <w:color w:val="000000"/>
                <w:sz w:val="20"/>
                <w:szCs w:val="20"/>
              </w:rPr>
              <w:t>usług zdrowia i pomocy społecznej oraz usługach biurowych i administracji.</w:t>
            </w:r>
          </w:p>
          <w:p w:rsidR="00622133" w:rsidRPr="00622133" w:rsidRDefault="00622133" w:rsidP="00622133">
            <w:pPr>
              <w:pStyle w:val="Bezodstpw"/>
              <w:jc w:val="lef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622133" w:rsidRDefault="00622133" w:rsidP="00622133">
            <w:pPr>
              <w:pStyle w:val="Bezodstpw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22133">
              <w:rPr>
                <w:rFonts w:ascii="Arial Narrow" w:hAnsi="Arial Narrow"/>
                <w:sz w:val="20"/>
                <w:szCs w:val="20"/>
              </w:rPr>
              <w:t xml:space="preserve">Pkt. 3 </w:t>
            </w:r>
            <w:r w:rsidR="006852AB">
              <w:rPr>
                <w:rFonts w:ascii="Arial Narrow" w:hAnsi="Arial Narrow"/>
                <w:sz w:val="20"/>
                <w:szCs w:val="20"/>
              </w:rPr>
              <w:t>-</w:t>
            </w:r>
            <w:r w:rsidRPr="00622133">
              <w:rPr>
                <w:rFonts w:ascii="Arial Narrow" w:hAnsi="Arial Narrow"/>
                <w:sz w:val="20"/>
                <w:szCs w:val="20"/>
              </w:rPr>
              <w:t xml:space="preserve"> uwaga dotyczy zwiększenia maksymalnej wysokości garaży i budynków gospodarczych do 6 m (z ustalonej w projekcie planu na 5 m).</w:t>
            </w:r>
          </w:p>
          <w:p w:rsidR="00622133" w:rsidRPr="00622133" w:rsidRDefault="00622133" w:rsidP="00622133">
            <w:pPr>
              <w:pStyle w:val="Bezodstpw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622133" w:rsidRDefault="00622133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Zmiana nie powoduje istotnego zwiększenia wysokości zabudowy towarzyszącej zabudowie mieszkaniowej i usługowej. Przyjęcie uwagi w tym zakresie ułatwi prowadzenie działalności gospodarczej. </w:t>
            </w:r>
          </w:p>
          <w:p w:rsidR="00622133" w:rsidRDefault="00622133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Pkt. 4 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uwaga dotyczy obniżenia stawki renty planistycznej ustalonej dla terenów inwestycyjnych do 10% (z ustalonej w projekcie planu na 30%).</w:t>
            </w:r>
          </w:p>
          <w:p w:rsidR="00622133" w:rsidRDefault="00622133" w:rsidP="0062213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Przyjęta w projekcie planu stawka renty planistycznej ma umożliwić zabezpieczenie przez miasto środków na uzbrojenie terenów objętych projektem planu w infrastrukturę techniczną oraz realizację wyznaczonych w nim dróg publicznych.  Wnoszona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zmiana stawki renty planistycznej uniemożliwi realizację wymienionych powyżej celów. Możliwe jest jedynie nieznaczne obniżenie tej stawki do 25%. Różnica ta może ułatwić dla właścicieli gruntów przygotowanie inwestycyjne nowych terenów budowlanych.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0076A4" w:rsidRPr="009457A3" w:rsidRDefault="000076A4" w:rsidP="009B3F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15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0076A4" w:rsidRDefault="000076A4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  <w:hideMark/>
          </w:tcPr>
          <w:p w:rsidR="000076A4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0076A4" w:rsidRDefault="000076A4" w:rsidP="009B3F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1MNW-MNB-U , 2MNW-MNB-U, 2KDL, 2KR, obszar planu, dz. ewid. 2/1, 2/2, 2/3, 3/2, 3/3 miasto Płońsk</w:t>
            </w:r>
          </w:p>
        </w:tc>
        <w:tc>
          <w:tcPr>
            <w:tcW w:w="0" w:type="auto"/>
            <w:hideMark/>
          </w:tcPr>
          <w:p w:rsidR="000076A4" w:rsidRPr="005F234B" w:rsidRDefault="000076A4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pkt. 2</w:t>
            </w:r>
            <w:r w:rsidR="00230291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, pkt. 4</w:t>
            </w:r>
          </w:p>
        </w:tc>
        <w:tc>
          <w:tcPr>
            <w:tcW w:w="0" w:type="auto"/>
            <w:hideMark/>
          </w:tcPr>
          <w:p w:rsidR="000076A4" w:rsidRPr="00352F1A" w:rsidRDefault="000076A4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pkt. 1, pkt. 3</w:t>
            </w:r>
          </w:p>
        </w:tc>
        <w:tc>
          <w:tcPr>
            <w:tcW w:w="0" w:type="auto"/>
            <w:hideMark/>
          </w:tcPr>
          <w:p w:rsidR="000076A4" w:rsidRDefault="000076A4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1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uwaga dotyczy przesunięcia drogi 2KDL w kierunku północnym, na odcinku od drogi 4KDL do działki 2/3.</w:t>
            </w:r>
          </w:p>
          <w:p w:rsidR="000076A4" w:rsidRDefault="000076A4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powodowałaby przesuni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ę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cie drogi w całości na działki sąsiednie. Lokalizacja drogi w ten sposób całkowicie uniemożliwiłaby realizację zabudowy na tych działkach.</w:t>
            </w:r>
          </w:p>
          <w:p w:rsidR="000076A4" w:rsidRDefault="000076A4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2 – uwaga dotyczy zmniejszenia „narożnika” wyznaczonego na drodze 2KDL.</w:t>
            </w:r>
          </w:p>
          <w:p w:rsidR="000076A4" w:rsidRDefault="000076A4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Uwzględnienie uwagi nie spowoduje utrudnień w przebiegu ruchu komunikacyjnego na drodze 2KDL.</w:t>
            </w:r>
          </w:p>
          <w:p w:rsidR="000076A4" w:rsidRDefault="000076A4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3 – uwaga dotyczy korekty przebiegu drogi 2KR, w taki sposób aby istniejąca skrzynka energetyczna znalazła się poza jej liniami rozgraniczającymi.</w:t>
            </w:r>
          </w:p>
          <w:p w:rsidR="000076A4" w:rsidRDefault="000076A4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Uwzględnienie uwagi powodowałoby przesuni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ę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cie linii rozgraniczających drogi na zabudowa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ną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działkę. W ustaleniach projektu planu dopuszcza się przebudowę istniejącej infrastruktury, o ile jest to konieczne dla rozwoju procesów inwestycyjnych.</w:t>
            </w:r>
          </w:p>
          <w:p w:rsidR="000076A4" w:rsidRDefault="00230291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4 – uwaga dotyczy zmniejszenia wyznaczonej na działkach objętych uwag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>ą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nieprzekraczalnej linii zabudowy od dróg 1KDL i 2KDL do 5 m (z ustalonej w projekcie planu na 6 m).</w:t>
            </w:r>
          </w:p>
          <w:p w:rsidR="00230291" w:rsidRDefault="00230291" w:rsidP="00230291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Uwzględnienie uwagi nie spowoduje istotnych zmian w ukształtowaniu linii zabudowy przy drogach  1KDL i 2KDL. Uwzględnienie uwagi pozwoli również na zachowanie odległości normatywnych określonych w przepisach ustawy o drogach publicznych i ustawy prawo budowlane.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230291" w:rsidRPr="009457A3" w:rsidRDefault="00230291" w:rsidP="009B3F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16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230291" w:rsidRDefault="00230291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22.11.24</w:t>
            </w:r>
          </w:p>
        </w:tc>
        <w:tc>
          <w:tcPr>
            <w:tcW w:w="0" w:type="auto"/>
          </w:tcPr>
          <w:p w:rsidR="00230291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230291" w:rsidRDefault="00230291" w:rsidP="002302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8MNW-MNB</w:t>
            </w:r>
          </w:p>
        </w:tc>
        <w:tc>
          <w:tcPr>
            <w:tcW w:w="0" w:type="auto"/>
            <w:hideMark/>
          </w:tcPr>
          <w:p w:rsidR="00230291" w:rsidRPr="005F234B" w:rsidRDefault="00230291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230291" w:rsidRPr="00352F1A" w:rsidRDefault="00230291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230291" w:rsidRDefault="00230291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zmiany przeznaczenia terenu objętego uwagą na cele zabudowy mieszkaniowej wielorodzinnej.</w:t>
            </w:r>
          </w:p>
          <w:p w:rsidR="00230291" w:rsidRDefault="00230291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Uwaga nie może być uwzględniona ponieważ osoby ją składające nie są właścicielami wszystkich działek znajdujących się w granicach przedmiotowego terenu. Uwzględnienie uwagi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powodowałoby w przyszłości powstanie konfliktów przestrzennych pomiędzy zabudową jednorodzinną i wielorodzinną.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230291" w:rsidRPr="009457A3" w:rsidRDefault="001D7474" w:rsidP="009B3F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17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230291" w:rsidRDefault="00230291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21.11.24</w:t>
            </w:r>
          </w:p>
        </w:tc>
        <w:tc>
          <w:tcPr>
            <w:tcW w:w="0" w:type="auto"/>
            <w:hideMark/>
          </w:tcPr>
          <w:p w:rsidR="00230291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230291" w:rsidRDefault="00230291" w:rsidP="002302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Tereny oznaczone symbolami  1KDD, 5KDD, 8KDD, dz. ewid. 11 miasto Płońsk</w:t>
            </w:r>
          </w:p>
        </w:tc>
        <w:tc>
          <w:tcPr>
            <w:tcW w:w="0" w:type="auto"/>
            <w:hideMark/>
          </w:tcPr>
          <w:p w:rsidR="00230291" w:rsidRPr="005F234B" w:rsidRDefault="00230291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230291" w:rsidRPr="00352F1A" w:rsidRDefault="00230291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0" w:type="auto"/>
            <w:hideMark/>
          </w:tcPr>
          <w:p w:rsidR="00230291" w:rsidRDefault="00230291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wyznaczenia nadmiernej ilości dróg obsługujących obszar planu. Osoba składająca uwagę wnosi o likwidację dróg 1KDD, 5KDD, 8KDD.</w:t>
            </w:r>
          </w:p>
          <w:p w:rsidR="00230291" w:rsidRDefault="00230291" w:rsidP="00230291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Drogi wymienione w uwadze zostały wyznaczone w celu ułatwienia parcelacji terenów inwestycyjnych na działki budowlane. Likwidacja dróg nie spowoduje braku dostępu nieruchomości do dróg publicznych, konieczne będzie jednak wytyczenie przez ich właścicieli dodatkowych dojazdów do wydzielanych w skutek podziałów nieruchomości działek budowlanych.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230291" w:rsidRPr="009457A3" w:rsidRDefault="001D7474" w:rsidP="009B3F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18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230291" w:rsidRDefault="00230291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21.11.24</w:t>
            </w:r>
          </w:p>
        </w:tc>
        <w:tc>
          <w:tcPr>
            <w:tcW w:w="0" w:type="auto"/>
            <w:hideMark/>
          </w:tcPr>
          <w:p w:rsidR="00230291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230291" w:rsidRDefault="00230291" w:rsidP="002302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7KDL, dz. ewid. 11 miasto Płońsk</w:t>
            </w:r>
          </w:p>
        </w:tc>
        <w:tc>
          <w:tcPr>
            <w:tcW w:w="0" w:type="auto"/>
            <w:hideMark/>
          </w:tcPr>
          <w:p w:rsidR="00230291" w:rsidRPr="005F234B" w:rsidRDefault="00230291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230291" w:rsidRPr="00352F1A" w:rsidRDefault="00230291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0" w:type="auto"/>
            <w:hideMark/>
          </w:tcPr>
          <w:p w:rsidR="00230291" w:rsidRDefault="00230291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zwężenia drogi 7KDL do 10 m (z ustalonej w planie na 20 m).</w:t>
            </w:r>
          </w:p>
          <w:p w:rsidR="00230291" w:rsidRDefault="00230291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Zwężenie przedmiotowej drogi nie spowoduje znaczących utrudnień w obsłudze komunikacyjnej terenów w obszarze sporządzanego planu.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8705F4" w:rsidRPr="009457A3" w:rsidRDefault="001D7474" w:rsidP="009B3F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19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8705F4" w:rsidRDefault="008705F4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21.11.24</w:t>
            </w:r>
          </w:p>
        </w:tc>
        <w:tc>
          <w:tcPr>
            <w:tcW w:w="0" w:type="auto"/>
            <w:hideMark/>
          </w:tcPr>
          <w:p w:rsidR="008705F4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8705F4" w:rsidRDefault="008705F4" w:rsidP="008705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Tereny oznaczone symbolami 1MNW-MNB, 4MNW-MNB, 6MNW-MNB, 9MNW-MNB, 12MNW-MNB, 15MNW-MNB, dz. ewid. 11 miasto Płońsk</w:t>
            </w:r>
          </w:p>
        </w:tc>
        <w:tc>
          <w:tcPr>
            <w:tcW w:w="0" w:type="auto"/>
            <w:hideMark/>
          </w:tcPr>
          <w:p w:rsidR="008705F4" w:rsidRPr="005F234B" w:rsidRDefault="008705F4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8705F4" w:rsidRPr="00352F1A" w:rsidRDefault="008705F4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8705F4" w:rsidRDefault="008705F4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dopuszczenia realizacji zabudowy usługowej na terenach MNW-MNB nią objętych.</w:t>
            </w:r>
          </w:p>
          <w:p w:rsidR="008705F4" w:rsidRDefault="008705F4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Tereny objęte uwagą stanowią uspokojony obszar zabudowy mieszkaniowej w typie podmiejskim. Dopuszczenie realizacji usług w tym rejonie planu powodowałoby zmianę charakteru tych terenów. Realizacja zabudowy usługowej mogłaby stanowić uciążliwości dla zabudowy mieszkaniowej i w konsekwencji prowadzić do powstania konfliktów przestrzennych.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8705F4" w:rsidRPr="009457A3" w:rsidRDefault="001D7474" w:rsidP="009B3F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20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8705F4" w:rsidRDefault="008705F4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21.11.24</w:t>
            </w:r>
          </w:p>
        </w:tc>
        <w:tc>
          <w:tcPr>
            <w:tcW w:w="0" w:type="auto"/>
            <w:hideMark/>
          </w:tcPr>
          <w:p w:rsidR="008705F4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8705F4" w:rsidRDefault="008705F4" w:rsidP="008705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Obszar planu, dz. ewid. 11 miasto Płońsk</w:t>
            </w:r>
          </w:p>
        </w:tc>
        <w:tc>
          <w:tcPr>
            <w:tcW w:w="0" w:type="auto"/>
            <w:hideMark/>
          </w:tcPr>
          <w:p w:rsidR="008705F4" w:rsidRPr="005F234B" w:rsidRDefault="008705F4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8705F4" w:rsidRPr="00352F1A" w:rsidRDefault="008705F4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część</w:t>
            </w:r>
          </w:p>
        </w:tc>
        <w:tc>
          <w:tcPr>
            <w:tcW w:w="0" w:type="auto"/>
            <w:hideMark/>
          </w:tcPr>
          <w:p w:rsidR="008705F4" w:rsidRDefault="008705F4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obniżenia stawki renty planistycznej ustalonej dla terenów inwestycyjnych do 15% (z ustalonej w projekcie planu na 30%).</w:t>
            </w:r>
          </w:p>
          <w:p w:rsidR="008705F4" w:rsidRDefault="008705F4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Przyjęta w projekcie planu stawka renty planistycznej ma umożliwić zabezpieczenie przez miasto środków na uzbrojenie terenów objętych projektem planu w infrastrukturę techniczną oraz realizację wyznaczonych w nim dróg p[publicznych.  Wnoszona zmiana stawki renty planistycznej uniemożliwi realizację wymienionych powyżej celów. Możliwe jest jedynie nieznaczne obniżenie tej stawki do 25%. Różnica ta może ułatwić dla właścicieli gruntów przygotowanie inwestycyjne nowych terenów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budowlanych.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8705F4" w:rsidRPr="009457A3" w:rsidRDefault="001D7474" w:rsidP="009B3F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21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8705F4" w:rsidRDefault="008705F4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21.11.24</w:t>
            </w:r>
          </w:p>
        </w:tc>
        <w:tc>
          <w:tcPr>
            <w:tcW w:w="0" w:type="auto"/>
            <w:hideMark/>
          </w:tcPr>
          <w:p w:rsidR="008705F4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8705F4" w:rsidRDefault="008705F4" w:rsidP="009B3F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Tereny oznaczone symbolami 1MNW-MNB, 4MNW-MNB-U, 4MNW-MNB, 6MNW-MNB,  9MNW-MNB, 12MNW-MNB, dz. ewid. 14/1, 14/2 miasto Płońsk</w:t>
            </w:r>
          </w:p>
        </w:tc>
        <w:tc>
          <w:tcPr>
            <w:tcW w:w="0" w:type="auto"/>
            <w:hideMark/>
          </w:tcPr>
          <w:p w:rsidR="008705F4" w:rsidRPr="005F234B" w:rsidRDefault="008705F4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8705F4" w:rsidRPr="00352F1A" w:rsidRDefault="008705F4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0" w:type="auto"/>
            <w:hideMark/>
          </w:tcPr>
          <w:p w:rsidR="008705F4" w:rsidRDefault="008705F4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Uwaga dotyczy zmniejszenia minimalnej powierzchni działki dla terenów objętych uwagą do 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</w:rPr>
              <w:t>600 m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dla zabudowy wolnostojącej i 400 m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dla zabudowy bliźniaczej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oraz frontu działki </w:t>
            </w:r>
            <w:r w:rsidRPr="00811754">
              <w:rPr>
                <w:rFonts w:ascii="Arial Narrow" w:hAnsi="Arial Narrow" w:cs="Arial"/>
                <w:color w:val="000000"/>
                <w:sz w:val="20"/>
                <w:szCs w:val="20"/>
              </w:rPr>
              <w:t>na 16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  <w:p w:rsidR="008705F4" w:rsidRDefault="008705F4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Podnoszone w uwadze zmiany parametrów urbanistycznych są zgodne z przyjętymi w projekcie planu. Uwzględnienie uwagi nie będzie powodować konieczności wprowadzania zmian w treści projektu uchwały.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C300E7" w:rsidRPr="009457A3" w:rsidRDefault="001D7474" w:rsidP="009B3F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22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C300E7" w:rsidRDefault="00C300E7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21.11.24</w:t>
            </w:r>
          </w:p>
        </w:tc>
        <w:tc>
          <w:tcPr>
            <w:tcW w:w="0" w:type="auto"/>
            <w:hideMark/>
          </w:tcPr>
          <w:p w:rsidR="00C300E7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C300E7" w:rsidRDefault="00197EDB" w:rsidP="00B766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Tereny oznaczone symbolami 5MNW-MNB-U, 2MNW-MNB-U, 5MNW-MNB, 7MNW-MNB,  10MNW-MNB, 13MNW-MNB, 16MNW-MNB</w:t>
            </w:r>
            <w:r w:rsidR="00B76619">
              <w:rPr>
                <w:rFonts w:ascii="Arial Narrow" w:hAnsi="Arial Narrow"/>
                <w:sz w:val="20"/>
                <w:szCs w:val="20"/>
              </w:rPr>
              <w:t>, 1KDZ, 2KDZ, 8KDL</w:t>
            </w:r>
            <w:r w:rsidR="00776BEA">
              <w:rPr>
                <w:rFonts w:ascii="Arial Narrow" w:hAnsi="Arial Narrow"/>
                <w:sz w:val="20"/>
                <w:szCs w:val="20"/>
              </w:rPr>
              <w:t>, 9KDD, 6KDD, 2KDD</w:t>
            </w:r>
            <w:r w:rsidR="00B76619">
              <w:rPr>
                <w:rFonts w:ascii="Arial Narrow" w:hAnsi="Arial Narrow"/>
                <w:sz w:val="20"/>
                <w:szCs w:val="20"/>
              </w:rPr>
              <w:t xml:space="preserve"> (osoba składająca uwagę mylnie podała symbol drogi jako 8KDZ) </w:t>
            </w:r>
            <w:r>
              <w:rPr>
                <w:rFonts w:ascii="Arial Narrow" w:hAnsi="Arial Narrow"/>
                <w:sz w:val="20"/>
                <w:szCs w:val="20"/>
              </w:rPr>
              <w:t>, dz. ewid. 15</w:t>
            </w:r>
            <w:r w:rsidR="00B70BF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miasto Płońsk</w:t>
            </w:r>
          </w:p>
        </w:tc>
        <w:tc>
          <w:tcPr>
            <w:tcW w:w="0" w:type="auto"/>
            <w:hideMark/>
          </w:tcPr>
          <w:p w:rsidR="00C300E7" w:rsidRPr="005F234B" w:rsidRDefault="00197EDB" w:rsidP="00776BEA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pkt. 2</w:t>
            </w:r>
            <w:r w:rsidR="00B02CCC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, pkt. 3 część</w:t>
            </w:r>
            <w:r w:rsidR="00B76619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, pkt. 4, pkt. 5</w:t>
            </w:r>
            <w:r w:rsidR="00776BEA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, pkt. 6, pkt. 7</w:t>
            </w:r>
            <w:r w:rsidR="00C9030B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, pkt. 8</w:t>
            </w:r>
          </w:p>
        </w:tc>
        <w:tc>
          <w:tcPr>
            <w:tcW w:w="0" w:type="auto"/>
            <w:hideMark/>
          </w:tcPr>
          <w:p w:rsidR="00C300E7" w:rsidRPr="00352F1A" w:rsidRDefault="00197EDB" w:rsidP="00776BEA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 xml:space="preserve">X pkt. 1, </w:t>
            </w:r>
            <w:r w:rsidR="00B02CCC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pkt. 3 część</w:t>
            </w:r>
          </w:p>
        </w:tc>
        <w:tc>
          <w:tcPr>
            <w:tcW w:w="0" w:type="auto"/>
            <w:hideMark/>
          </w:tcPr>
          <w:p w:rsidR="00C300E7" w:rsidRDefault="00197EDB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1 – uwaga dotyczy przeznaczenie całej działki objętej uwagą na cele zabudowy mieszkaniowo – usługowej (MNW-MNB-U).</w:t>
            </w:r>
          </w:p>
          <w:p w:rsidR="00197EDB" w:rsidRDefault="00197EDB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Tereny objęte uwagą stanowią uspokojony obszar zabudowy mieszkaniowej w typie podmiejskim. Dopuszczenie realizacji usług w tym rejonie planu powodowałoby zmianę charakteru tych terenów. Realizacja zabudowy usługowej mogłaby stanowić uciążliwości dla zabudowy mieszkaniowej i w konsekwencji prowadzić do powstania konfliktów przestrzennych. Przeznaczenie działki na cele zabudowy mieszkaniowo – usługowej poza teren 5MNW-MNB-U nie ma tym samym uzasadnienia przestrzennego.</w:t>
            </w:r>
          </w:p>
          <w:p w:rsidR="00197EDB" w:rsidRDefault="00197EDB" w:rsidP="00197EDB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2 - uwaga dotyczy zapewnienia dojazdu do działki poprzez drogę 5KDL od ulicy Młodzieżowej, przy czym w uwadze osoba ją składająca wnosi o ograniczenie tego połączenia komunikacyjnego do szerokości 12 m.</w:t>
            </w:r>
          </w:p>
          <w:p w:rsidR="00197EDB" w:rsidRDefault="00197EDB" w:rsidP="00197EDB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Droga 5KDL w projekcie planu ma szerokość 12 m, jest ona przedłużona do ulicy Młodzieżowej poprzez drog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LISTNUM </w:instrTex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ę 1KDZ. Zgodnie z rozstrzygnięciem innych uwag szerokość drogi 1KDZ zostanie zmniejszona do 12 m.</w:t>
            </w:r>
          </w:p>
          <w:p w:rsidR="00B02CCC" w:rsidRDefault="00197EDB" w:rsidP="00B02CCC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3</w:t>
            </w:r>
            <w:r w:rsidR="00B02C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uwaga dotyczy zwężenia dróg 1KDZ i 2KDZ do 12 m  (z ustalonej w planie odpowiednio na 15 m i 20 m), wraz ze zmianą ich klasy technicznej na lokalną. Uwaga dotyczy również sprzeciwu wobec poprowadzenia odcinka drogi 1 KDZ wyłącznie po własności osoby składającej uwagę.</w:t>
            </w:r>
          </w:p>
          <w:p w:rsidR="00197EDB" w:rsidRDefault="00B02CCC" w:rsidP="00B7661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Zmiana klasy technicznej dróg na lokalną powodowałaby niezgodność ze studium uwarunkowań i kierunków zagospodarowania przestrzennego miasta Płońsk. W skutek uwag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złożonych w pierwszym wyłożeniu droga została już zwężona z 20 m do 15 m. Zmiana szerokości dróg na 12 m pokrywa się </w:t>
            </w:r>
            <w:r w:rsidR="00B76619">
              <w:rPr>
                <w:rFonts w:ascii="Arial Narrow" w:hAnsi="Arial Narrow" w:cs="Arial"/>
                <w:color w:val="000000"/>
                <w:sz w:val="20"/>
                <w:szCs w:val="20"/>
              </w:rPr>
              <w:t>treścią uwag złożonych przez innych właścicieli nieruchomości i również sposobem ich rozstrzygnięcia. Zmniejszenie szerokości dróg objętych uwagą pozwoli na zachowanie ich funkcji w układzie komunikacyjnym obszaru planu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  <w:r w:rsidR="00B7661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Zmiana przebiegu drogi 1KDZ w sposób uwzględniający sąsiadującą własność jest odcinkowo niemożliwa ze względu na znajdujące się na tych działach budynki mieszkalne. Przesunięcie drogi powodowałoby konieczność wyburzenia tych budynków.</w:t>
            </w:r>
          </w:p>
          <w:p w:rsidR="00B76619" w:rsidRDefault="00B76619" w:rsidP="00B7661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4 - uwaga dotyczy zwężenia drogi 8KDL do 15 m (z ustalonej w planie na 20 m).</w:t>
            </w:r>
          </w:p>
          <w:p w:rsidR="00B76619" w:rsidRDefault="00B76619" w:rsidP="00B7661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Zwężenie przedmiotowej drogi nie spowoduje znaczących utrudnień w obsłudze komunikacyjnej terenów w obszarze sporządzanego planu. Wskutek rozstrzygnięcia uwag dotyczących drogi 7KDL (stanowi przedłużenie drogi 8KDL) szerokość drogi 8KDL zostanie zmniejszona do szerokości 10 m.</w:t>
            </w:r>
          </w:p>
          <w:p w:rsidR="00B76619" w:rsidRDefault="00B76619" w:rsidP="00B7661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5 – uwaga dotyczy zamiany sieci elektroenergetycznej 15 kV znajdującej się w drodze 8KDL na sieci kablowe.</w:t>
            </w:r>
          </w:p>
          <w:p w:rsidR="00B76619" w:rsidRDefault="00B76619" w:rsidP="00776BE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 projekcie planu dopuszcza się skablowanie lub likwidację napowietrznych sieci elektroenergetycznych. </w:t>
            </w:r>
          </w:p>
          <w:p w:rsidR="00776BEA" w:rsidRDefault="00776BEA" w:rsidP="00776BE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6 – uwaga dotyczy dopuszczenia zjazdów na działki budowlane z wszystkich zaprojektowanych w sporządzanym planie dróg.</w:t>
            </w:r>
          </w:p>
          <w:p w:rsidR="00776BEA" w:rsidRDefault="00776BEA" w:rsidP="00776BE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 projekcie planu nie ogranicza się zjazdów na działki budowlane ze wszystkich dróg w nim wyznaczonych oraz umożliwienie parkowania w granicach nieruchomości. Szczegółowa lokalizacja zjazdu będzie podlegać uzgodnieniu właściciela parcelowanych działek budowlanych z zarządcą drogi. W sporządzanym projekcie planu wprost wskazano obowiązek zapewnienia potrzeb parkingowych na działkach podlegających działaniom inwestycyjnym.</w:t>
            </w:r>
          </w:p>
          <w:p w:rsidR="00776BEA" w:rsidRDefault="00776BEA" w:rsidP="00776BE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7 – uwaga dotyczy zapewnienia „w projekcie dróg</w:t>
            </w:r>
            <w:r w:rsidR="006852A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odwodnień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głębokiego rowu melioracyjnego i systemu wodnego”.</w:t>
            </w:r>
          </w:p>
          <w:p w:rsidR="00776BEA" w:rsidRDefault="00776BEA" w:rsidP="00776BE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Uwaga niezrozumiała, dotyczy ona prawdopodobnie umożliwienia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w projekcie planu odwodnienia dróg. W tym kontekście projekt planu zawiera odpowiednie ustalenia, w tym umożliwia realizację rowów przydrożnych. Rodzaj sposobu odwodnienia drogi będzie jednak zależał od rozwiązań technicznych jakie przyjmie zarządca drogi, np. rezygnację z rowów odkrytych na rzecz kanalizacji deszczowej.</w:t>
            </w:r>
          </w:p>
          <w:p w:rsidR="00C9030B" w:rsidRDefault="00C9030B" w:rsidP="00C9030B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8 - uwaga dotyczy wyznaczenia nadmiernej ilości dróg obsługujących obszar planu. Osoba składająca uwagę wnosi o likwidację dróg 2KDD, 6KDD, 9KDD.</w:t>
            </w:r>
          </w:p>
          <w:p w:rsidR="00C9030B" w:rsidRDefault="00C9030B" w:rsidP="00C9030B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Drogi wymienione w uwadze zostały wyznaczone w celu ułatwienia parcelacji terenów inwestycyjnych na działki budowlane. Likwidacja dróg nie spowoduje braku dostępu nieruchomości do dróg publicznych, konieczne będzie jednak wytyczenie przez ich właścicieli dodatkowych dojazdów do wydzielanych w skutek podziałów nieruchomości działek budowlanych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C24DD1" w:rsidRPr="009457A3" w:rsidRDefault="00C24DD1" w:rsidP="009B3F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23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C24DD1" w:rsidRDefault="00C24DD1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20.11.24</w:t>
            </w:r>
          </w:p>
        </w:tc>
        <w:tc>
          <w:tcPr>
            <w:tcW w:w="0" w:type="auto"/>
            <w:hideMark/>
          </w:tcPr>
          <w:p w:rsidR="00C24DD1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C24DD1" w:rsidRDefault="00C24DD1" w:rsidP="00C24D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Tereny oznaczone symbolami 1MNW-MNB, 4MNW-MNB, 1WS, 2WS, 3KDL, dz. ewid. 9/1 miasto Płońsk</w:t>
            </w:r>
          </w:p>
        </w:tc>
        <w:tc>
          <w:tcPr>
            <w:tcW w:w="0" w:type="auto"/>
            <w:hideMark/>
          </w:tcPr>
          <w:p w:rsidR="00C24DD1" w:rsidRPr="005F234B" w:rsidRDefault="00C24DD1" w:rsidP="00C24DD1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pkt. 1 część</w:t>
            </w:r>
          </w:p>
        </w:tc>
        <w:tc>
          <w:tcPr>
            <w:tcW w:w="0" w:type="auto"/>
            <w:hideMark/>
          </w:tcPr>
          <w:p w:rsidR="00C24DD1" w:rsidRPr="00352F1A" w:rsidRDefault="00C24DD1" w:rsidP="00C24DD1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pkt. 1 część, pkt. 2</w:t>
            </w:r>
          </w:p>
        </w:tc>
        <w:tc>
          <w:tcPr>
            <w:tcW w:w="0" w:type="auto"/>
            <w:hideMark/>
          </w:tcPr>
          <w:p w:rsidR="00C24DD1" w:rsidRDefault="00C24DD1" w:rsidP="00C24DD1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1 – uwaga dotyczy zmniejszenia odległości wyznaczonej od rowów melioracyjnych i drogi 3KDL nieprzekraczalnej linii zabudowy  do 1 m (z ustalonej w projekcie planu na 6 m).</w:t>
            </w:r>
          </w:p>
          <w:p w:rsidR="00C24DD1" w:rsidRDefault="00C24DD1" w:rsidP="00C24DD1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Przyjęcie odległości linii zabudowy od rowy melioracyjnego obejmującego tereny 1WS i 2WS spowodowałoby brak możliwości podejmowania działań na rzecz utrzymania jego dobrego stanu technicznego, co mogłoby powodować utrudnienia w przepływie wód opadowych lub roztopowych. Odległość linii zabudowy może być zmniejszona wyłącznie do odległości 3 m. odległość ta umożliwi utrzymanie dobrego stanu technicznego rowu melioracyjnego. Uwaga w zakresie linii zabudowy od drogi 3KDL nie ma uzasadnienia formalnego – tereny MNW-MNB objęte uwagą nie przylegają bezpośrednio do tej drogi. </w:t>
            </w:r>
          </w:p>
          <w:p w:rsidR="00C24DD1" w:rsidRDefault="00C24DD1" w:rsidP="00C24DD1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2 – uwaga dotyczy zmniejszenia szerokości drogi 1KDD, mającej w projekcie planu szerokość 10 m.</w:t>
            </w:r>
          </w:p>
          <w:p w:rsidR="00C24DD1" w:rsidRDefault="00C24DD1" w:rsidP="00C24DD1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Osoba składająca uwagę nie określiła zakresu wnoszonych zmian. Dodatkowo w skutek rozstrzygnięcia innych uwag droga 1KDD została wyeliminowana z projektu planu. Tym samym pozytywne rozstrzygnięcie uwagi nie jest możliwe z przyczyn formalnych.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C24DD1" w:rsidRPr="009457A3" w:rsidRDefault="00C24DD1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24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C24DD1" w:rsidRDefault="00C24DD1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20.11.24</w:t>
            </w:r>
          </w:p>
        </w:tc>
        <w:tc>
          <w:tcPr>
            <w:tcW w:w="0" w:type="auto"/>
            <w:hideMark/>
          </w:tcPr>
          <w:p w:rsidR="00C24DD1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C24DD1" w:rsidRDefault="009558A3" w:rsidP="00955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1U, dz. ewid. 5 miasto Płońsk</w:t>
            </w:r>
          </w:p>
        </w:tc>
        <w:tc>
          <w:tcPr>
            <w:tcW w:w="0" w:type="auto"/>
            <w:hideMark/>
          </w:tcPr>
          <w:p w:rsidR="00C24DD1" w:rsidRPr="005F234B" w:rsidRDefault="009558A3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C24DD1" w:rsidRPr="00352F1A" w:rsidRDefault="00C24DD1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0" w:type="auto"/>
            <w:hideMark/>
          </w:tcPr>
          <w:p w:rsidR="00C24DD1" w:rsidRDefault="009558A3" w:rsidP="009558A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zmniejszenia wyznaczonego dla terenu objętego uwagą wskaźnika minimalnego udziału powierzchni biologicznie czynnej do 20% powierzchni działki budowlanej (z ustalonego w projekcie planu na poziomie 30%) oraz zwiększenie wskaźnika udziału powierzchni zabudowy do 60% powierzchni działki budowlanej (z ustalonego w projekcie planu na poziomie 50%).</w:t>
            </w:r>
          </w:p>
          <w:p w:rsidR="009558A3" w:rsidRDefault="009558A3" w:rsidP="009558A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Wnoszone w uwadze zmiany są zgodne ze studium uwarunkowań i kierunków zagospodarowania przestrzennego miasta Płońsk. Wprowadzenie tych zmian jest uzasadnione skomplikowanymi warunkami posadowienia zabudowy w terenie 1U – tereny poeksploatacyjne. 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116029" w:rsidRPr="009457A3" w:rsidRDefault="00116029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25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116029" w:rsidRDefault="00116029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14.11.24</w:t>
            </w:r>
          </w:p>
        </w:tc>
        <w:tc>
          <w:tcPr>
            <w:tcW w:w="0" w:type="auto"/>
            <w:hideMark/>
          </w:tcPr>
          <w:p w:rsidR="00116029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116029" w:rsidRDefault="00116029" w:rsidP="0011602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Tereny oznaczone symbolami 5MNW-MNB-U, 6MNW-MNB-U, 1KR, dz. ewid. 17/2 miasto Płońsk</w:t>
            </w:r>
          </w:p>
        </w:tc>
        <w:tc>
          <w:tcPr>
            <w:tcW w:w="0" w:type="auto"/>
            <w:hideMark/>
          </w:tcPr>
          <w:p w:rsidR="00116029" w:rsidRPr="005F234B" w:rsidRDefault="00116029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116029" w:rsidRPr="00352F1A" w:rsidRDefault="00116029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116029" w:rsidRDefault="00116029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przedłużenia ulicy Zielonej do projektowanej drogi 1KDZ.</w:t>
            </w:r>
          </w:p>
          <w:p w:rsidR="00116029" w:rsidRDefault="00116029" w:rsidP="0011602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Wyznaczenie projektowanego przedłużenia ulicy Zielonej nie zostało potwierdzone uwagami właścicieli gruntów, po których droga miałaby przebiegać. Właściciele działek w tym rejonie planu wnosili w swoich uwagach o likwidację lub zwężenie dróg przebiegających po ich nieruchomościach. Nie można zatem przyjąć, że akceptują realizację dodatkowej drogi. Wnoszona do wyznaczenia droga nie ma znaczenia dla obsługi komunikacyjnej terenów </w:t>
            </w:r>
            <w:r>
              <w:rPr>
                <w:rFonts w:ascii="Arial Narrow" w:hAnsi="Arial Narrow"/>
                <w:sz w:val="20"/>
                <w:szCs w:val="20"/>
              </w:rPr>
              <w:t>5MNW-MNB-U, 6MNW-MNB-U. Wszystkie działki znajdujące się w granicach tych terenów mają dostęp do dróg publicznych, bezpośredni lub przez drogi wewnętrzne.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116029" w:rsidRPr="009457A3" w:rsidRDefault="00116029" w:rsidP="009B3F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26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116029" w:rsidRDefault="00116029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29.10.24</w:t>
            </w:r>
          </w:p>
        </w:tc>
        <w:tc>
          <w:tcPr>
            <w:tcW w:w="0" w:type="auto"/>
            <w:hideMark/>
          </w:tcPr>
          <w:p w:rsidR="00116029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116029" w:rsidRDefault="00116029" w:rsidP="009B3F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Tereny oznaczone symbolami 5MNW-MNB-U, 6MNW-MNB-U, 1KR, dz. ewid. 17/2 miasto Płońsk</w:t>
            </w:r>
          </w:p>
        </w:tc>
        <w:tc>
          <w:tcPr>
            <w:tcW w:w="0" w:type="auto"/>
            <w:hideMark/>
          </w:tcPr>
          <w:p w:rsidR="00116029" w:rsidRPr="005F234B" w:rsidRDefault="00116029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116029" w:rsidRPr="00352F1A" w:rsidRDefault="00116029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116029" w:rsidRDefault="00116029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przedłużenia ulicy Zielonej do projektowanej drogi 1KDZ.</w:t>
            </w:r>
          </w:p>
          <w:p w:rsidR="00116029" w:rsidRDefault="00116029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Wyznaczenie projektowanego przedłużenia ulicy Zielonej nie zostało potwierdzone uwagami właścicieli gruntów, po których droga miałaby przebiegać. Właściciele działek w tym rejonie planu wnosili w swoich uwagach o likwidację lub zwężenie dróg przebiegających po ich nieruchomościach. Nie można zatem przyjąć, że akceptują realizację dodatkowej drogi. Wnoszona do wyznaczenia droga nie ma znaczenia dla obsługi komunikacyjnej terenów </w:t>
            </w:r>
            <w:r>
              <w:rPr>
                <w:rFonts w:ascii="Arial Narrow" w:hAnsi="Arial Narrow"/>
                <w:sz w:val="20"/>
                <w:szCs w:val="20"/>
              </w:rPr>
              <w:t>5MNW-MNB-U, 6MNW-MNB-U. Wszystkie działki znajdujące się w granicach tych terenów mają dostęp do dróg publicznych, bezpośredni lub przez drogi wewnętrzne.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116029" w:rsidRPr="009457A3" w:rsidRDefault="00116029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27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116029" w:rsidRDefault="00116029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04.11.24</w:t>
            </w:r>
          </w:p>
        </w:tc>
        <w:tc>
          <w:tcPr>
            <w:tcW w:w="0" w:type="auto"/>
            <w:hideMark/>
          </w:tcPr>
          <w:p w:rsidR="00116029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116029" w:rsidRDefault="00116029" w:rsidP="0011602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Tereny oznaczone symbolami 5MNW-MNB-U, 6MNW-MNB-U, 1KR, dz. ewid. 19/8 miasto Płońsk</w:t>
            </w:r>
          </w:p>
        </w:tc>
        <w:tc>
          <w:tcPr>
            <w:tcW w:w="0" w:type="auto"/>
            <w:hideMark/>
          </w:tcPr>
          <w:p w:rsidR="00116029" w:rsidRPr="005F234B" w:rsidRDefault="00116029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116029" w:rsidRPr="00352F1A" w:rsidRDefault="00116029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hideMark/>
          </w:tcPr>
          <w:p w:rsidR="00000743" w:rsidRDefault="00000743" w:rsidP="0000074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dotyczy przedłużenia ulicy Zielonej do projektowanej drogi 1KDZ oraz poszerzenie drogi 1KR do parametrów drogi publicznej (przynajmniej na odcinku od ulicy planowanego przebiegu przedłużenia ulicy Zielonej do drogi 8KDL).</w:t>
            </w:r>
          </w:p>
          <w:p w:rsidR="00116029" w:rsidRDefault="00000743" w:rsidP="00000743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Wyznaczenie projektowanego przedłużenia ulicy Zielonej nie zostało potwierdzone uwagami właścicieli gruntów, po których droga miałaby przebiegać. Właściciele działek w tym rejonie planu wnosili w swoich uwagach o likwidację lub zwężenie dróg przebiegających po ich nieruchomościach. Nie można zatem przyjąć, że akceptują realizację dodatkowej drogi. Wnoszona do wyznaczenia droga nie ma znaczenia dla obsługi komunikacyjnej terenów </w:t>
            </w:r>
            <w:r>
              <w:rPr>
                <w:rFonts w:ascii="Arial Narrow" w:hAnsi="Arial Narrow"/>
                <w:sz w:val="20"/>
                <w:szCs w:val="20"/>
              </w:rPr>
              <w:t>5MNW-MNB-U, 6MNW-MNB-U. Wszystkie działki znajdujące się w granicach tych terenów mają dostęp do dróg publicznych, bezpośredni lub przez drogi wewnętrzne. Podobna sytuacja dotyczy drogi 1KR. Oprócz osoby składającej uwagę inni właściciele gruntów z nią sąsiadujących nie wnosili o jej poszerzenie.</w:t>
            </w:r>
          </w:p>
        </w:tc>
      </w:tr>
      <w:tr w:rsidR="00B00012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116029" w:rsidRPr="009457A3" w:rsidRDefault="00000743" w:rsidP="00D679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28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116029" w:rsidRDefault="00000743" w:rsidP="00D679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25.11.24</w:t>
            </w:r>
          </w:p>
        </w:tc>
        <w:tc>
          <w:tcPr>
            <w:tcW w:w="0" w:type="auto"/>
            <w:hideMark/>
          </w:tcPr>
          <w:p w:rsidR="00116029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116029" w:rsidRDefault="00000743" w:rsidP="000007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1MW-U, dz. ewid. 2126/4, 2127/2 miasto Płońsk</w:t>
            </w:r>
          </w:p>
        </w:tc>
        <w:tc>
          <w:tcPr>
            <w:tcW w:w="0" w:type="auto"/>
            <w:hideMark/>
          </w:tcPr>
          <w:p w:rsidR="00116029" w:rsidRPr="005F234B" w:rsidRDefault="00B00012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pkt. 1 część</w:t>
            </w:r>
          </w:p>
        </w:tc>
        <w:tc>
          <w:tcPr>
            <w:tcW w:w="0" w:type="auto"/>
            <w:hideMark/>
          </w:tcPr>
          <w:p w:rsidR="00116029" w:rsidRPr="00352F1A" w:rsidRDefault="00B00012" w:rsidP="00D679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pkt. 1 część, pkt. 2, pkt. 3</w:t>
            </w:r>
          </w:p>
        </w:tc>
        <w:tc>
          <w:tcPr>
            <w:tcW w:w="0" w:type="auto"/>
            <w:hideMark/>
          </w:tcPr>
          <w:p w:rsidR="00116029" w:rsidRDefault="00000743" w:rsidP="00352F1A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1 – uwaga dotyczy dopuszczenia realizacji na terenie 1MW-U usług „noclegowych, opiekuńczych, ładowania samochodów elektrycznych, recyklingu, technologicznych”.</w:t>
            </w:r>
          </w:p>
          <w:p w:rsidR="00000743" w:rsidRDefault="00B00012" w:rsidP="00B00012">
            <w:pPr>
              <w:pStyle w:val="WW-Zawartotabeli1111"/>
              <w:tabs>
                <w:tab w:val="center" w:pos="77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Wnoszony profil usług nie jest zgodny z katalogiem usług ujętych w </w:t>
            </w:r>
            <w:r w:rsidRPr="00622133">
              <w:rPr>
                <w:rFonts w:ascii="Arial Narrow" w:hAnsi="Arial Narrow"/>
                <w:sz w:val="20"/>
                <w:szCs w:val="20"/>
              </w:rPr>
              <w:t>Rozporządzeni</w:t>
            </w: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622133">
              <w:rPr>
                <w:rFonts w:ascii="Arial Narrow" w:hAnsi="Arial Narrow"/>
                <w:sz w:val="20"/>
                <w:szCs w:val="20"/>
              </w:rPr>
              <w:t xml:space="preserve"> Ministra Rozwoju i Technologii z dnia 17 grudnia 2021 r. w sprawie wymaganego zakresu projektu miejscowego planu zagospodarowania przestrzennego (Dz. U. z 2021 r. poz. 2404). </w:t>
            </w:r>
            <w:r>
              <w:rPr>
                <w:rFonts w:ascii="Arial Narrow" w:hAnsi="Arial Narrow"/>
                <w:sz w:val="20"/>
                <w:szCs w:val="20"/>
              </w:rPr>
              <w:t>Wymienione w uwadze usługi „noclegowe o opiekuńcze” są dopuszczone do realizacji w projekcie planu jako usługi zdrowia i opieki społecznej oraz turystyki. Usługi ekologiczne wymienione w uwadze nie mają żadnego odniesienia do działalności usługowej zakwalifikowanej w polskich normach. Pozostałe usługi wnoszone w uwadze mogą stanowić źródło uciążliwości dla mieszkańców budynków wielorodzinnych – profil tych usług jest charakterystyczny dla terenów usługowo – produkcyjnych, a nie mieszkaniowo – usługowych.</w:t>
            </w:r>
          </w:p>
          <w:p w:rsidR="00B00012" w:rsidRDefault="00B00012" w:rsidP="00B00012">
            <w:pPr>
              <w:pStyle w:val="WW-Zawartotabeli1111"/>
              <w:tabs>
                <w:tab w:val="center" w:pos="77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Pkt. 2 – uwaga dotyczy dopuszczenia stosowania „dachów o nietypowych formach, np. wielkopołaciowych lub ekologicznych”</w:t>
            </w:r>
          </w:p>
          <w:p w:rsidR="00B00012" w:rsidRDefault="00B00012" w:rsidP="00B00012">
            <w:pPr>
              <w:pStyle w:val="WW-Zawartotabeli1111"/>
              <w:tabs>
                <w:tab w:val="center" w:pos="77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Uwzględnienie uwagi prowadziłoby do zaburzenia ładu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przestrzennego w ulicy Warszawskiej, ponieważ możliwe byłoby stosowanie dowolnych dachów, bez żadnych ograniczeń.</w:t>
            </w:r>
          </w:p>
          <w:p w:rsidR="00B00012" w:rsidRDefault="00B00012" w:rsidP="00B00012">
            <w:pPr>
              <w:pStyle w:val="WW-Zawartotabeli1111"/>
              <w:tabs>
                <w:tab w:val="center" w:pos="77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Pkt. 3 – uwaga dotyczy zwiększenia maksymalnego wskaźnika udziału powierzchni zabudowy do 80% działki budowlanej (z ustalonego w projekcie planu na 70%).</w:t>
            </w:r>
          </w:p>
          <w:p w:rsidR="00B00012" w:rsidRDefault="00B00012" w:rsidP="00B00012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Wnoszone zwiększenie wskaźnika jest charakterystyczne dla ścisłego centrum stref miejskich. Położenie działek objętych uwagą na obrzeżach strefy śródmiejskiej miasta nie uzasadnia wprowadzenia zmian wskaźnika.</w:t>
            </w:r>
          </w:p>
        </w:tc>
      </w:tr>
      <w:tr w:rsidR="0077170D" w:rsidRPr="00A66225" w:rsidTr="007059F3">
        <w:trPr>
          <w:trHeight w:val="521"/>
          <w:jc w:val="center"/>
        </w:trPr>
        <w:tc>
          <w:tcPr>
            <w:tcW w:w="492" w:type="dxa"/>
            <w:hideMark/>
          </w:tcPr>
          <w:p w:rsidR="0077170D" w:rsidRPr="009457A3" w:rsidRDefault="0077170D" w:rsidP="009B3F6D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29</w:t>
            </w:r>
            <w:r w:rsidR="003926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77170D" w:rsidRDefault="0077170D" w:rsidP="009B3F6D">
            <w:pPr>
              <w:pStyle w:val="WW-Zawartotabeli111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25.11.24</w:t>
            </w:r>
          </w:p>
        </w:tc>
        <w:tc>
          <w:tcPr>
            <w:tcW w:w="0" w:type="auto"/>
            <w:hideMark/>
          </w:tcPr>
          <w:p w:rsidR="0077170D" w:rsidRDefault="00736A81" w:rsidP="00736A81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[…..]*</w:t>
            </w:r>
          </w:p>
        </w:tc>
        <w:tc>
          <w:tcPr>
            <w:tcW w:w="0" w:type="auto"/>
            <w:hideMark/>
          </w:tcPr>
          <w:p w:rsidR="0077170D" w:rsidRDefault="0077170D" w:rsidP="007717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Teren oznaczony symbolem 1MW-U, dz. ewid. 2126/1, 2127/1 miasto Płońsk</w:t>
            </w:r>
          </w:p>
        </w:tc>
        <w:tc>
          <w:tcPr>
            <w:tcW w:w="0" w:type="auto"/>
            <w:hideMark/>
          </w:tcPr>
          <w:p w:rsidR="0077170D" w:rsidRPr="005F234B" w:rsidRDefault="0077170D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pkt. 1 część</w:t>
            </w:r>
          </w:p>
        </w:tc>
        <w:tc>
          <w:tcPr>
            <w:tcW w:w="0" w:type="auto"/>
            <w:hideMark/>
          </w:tcPr>
          <w:p w:rsidR="0077170D" w:rsidRPr="00352F1A" w:rsidRDefault="0077170D" w:rsidP="009B3F6D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 pkt. 1 część, pkt. 2, pkt. 3</w:t>
            </w:r>
          </w:p>
        </w:tc>
        <w:tc>
          <w:tcPr>
            <w:tcW w:w="0" w:type="auto"/>
            <w:hideMark/>
          </w:tcPr>
          <w:p w:rsidR="0077170D" w:rsidRDefault="0077170D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Pkt. 1 – uwaga dotyczy dopuszczenia realizacji na terenie 1MW-U usług „noclegowych, opiekuńczych, ładowania samochodów elektrycznych, recyklingu, technologicznych”.</w:t>
            </w:r>
          </w:p>
          <w:p w:rsidR="0077170D" w:rsidRDefault="0077170D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Wnoszony profil usług nie jest zgodny z katalogiem usług ujętych w </w:t>
            </w:r>
            <w:r w:rsidRPr="00622133">
              <w:rPr>
                <w:rFonts w:ascii="Arial Narrow" w:hAnsi="Arial Narrow"/>
                <w:sz w:val="20"/>
                <w:szCs w:val="20"/>
              </w:rPr>
              <w:t>Rozporządzeni</w:t>
            </w: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622133">
              <w:rPr>
                <w:rFonts w:ascii="Arial Narrow" w:hAnsi="Arial Narrow"/>
                <w:sz w:val="20"/>
                <w:szCs w:val="20"/>
              </w:rPr>
              <w:t xml:space="preserve"> Ministra Rozwoju i Technologii z dnia 17 grudnia 2021 r. w sprawie wymaganego zakresu projektu miejscowego planu zagospodarowania przestrzennego (Dz. U. z 2021 r. poz. 2404). </w:t>
            </w:r>
            <w:r>
              <w:rPr>
                <w:rFonts w:ascii="Arial Narrow" w:hAnsi="Arial Narrow"/>
                <w:sz w:val="20"/>
                <w:szCs w:val="20"/>
              </w:rPr>
              <w:t>Wymienione w uwadze usługi „noclegowe o opiekuńcze” są dopuszczone do realizacji w projekcie planu jako usługi zdrowia i opieki społecznej oraz turystyki. Usługi ekologiczne wymienione w uwadze nie mają żadnego odniesienia do działalności usługowej zakwalifikowanej w polskich normach. Pozostałe usługi wnoszone w uwadze mogą stanowić źródło uciążliwości dla mieszkańców budynków wielorodzinnych – profil tych usług jest charakterystyczny dla terenów usługowo – produkcyjnych, a nie mieszkaniowo – usługowych.</w:t>
            </w:r>
          </w:p>
          <w:p w:rsidR="0077170D" w:rsidRDefault="0077170D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Pkt. 2 – uwaga dotyczy dopuszczenia stosowania „dachów o nietypowych formach, np. wielkopołaciowych lub ekologicznych”</w:t>
            </w:r>
          </w:p>
          <w:p w:rsidR="0077170D" w:rsidRDefault="0077170D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Uwzględnienie uwagi prowadziłoby do zaburzenia ładu przestrzennego w ulicy Warszawskiej, ponieważ możliwe byłoby stosowanie dowolnych dachów, bez żadnych ograniczeń.</w:t>
            </w:r>
          </w:p>
          <w:p w:rsidR="0077170D" w:rsidRDefault="0077170D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Pkt. 3 – uwaga dotyczy zwiększenia maksymalnego wskaźnika udziału powierzchni zabudowy do 80% działki budowlanej (z ustalonego w projekcie planu na 70%).</w:t>
            </w:r>
          </w:p>
          <w:p w:rsidR="0077170D" w:rsidRDefault="0077170D" w:rsidP="009B3F6D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Wnoszone zwiększenie wskaźnika jest charakterystyczne dla ścisłego centrum stref miejskich. Położenie działek objętych uwagą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na obrzeżach strefy śródmiejskiej miasta nie uzasadnia wprowadzenia zmian wskaźnika.</w:t>
            </w:r>
          </w:p>
        </w:tc>
      </w:tr>
    </w:tbl>
    <w:p w:rsidR="007059F3" w:rsidRPr="001D45AA" w:rsidRDefault="007059F3" w:rsidP="007059F3">
      <w:pPr>
        <w:jc w:val="both"/>
        <w:rPr>
          <w:rFonts w:ascii="Arial Narrow" w:hAnsi="Arial Narrow"/>
          <w:sz w:val="18"/>
          <w:szCs w:val="18"/>
        </w:rPr>
      </w:pPr>
      <w:r w:rsidRPr="001D45AA">
        <w:rPr>
          <w:rFonts w:ascii="Arial Narrow" w:hAnsi="Arial Narrow" w:cs="Arial"/>
          <w:sz w:val="18"/>
          <w:szCs w:val="18"/>
        </w:rPr>
        <w:lastRenderedPageBreak/>
        <w:t xml:space="preserve">        </w:t>
      </w:r>
      <w:r w:rsidRPr="001D45AA">
        <w:rPr>
          <w:rFonts w:ascii="Arial Narrow" w:hAnsi="Arial Narrow" w:cs="Arial"/>
          <w:color w:val="000000"/>
          <w:sz w:val="18"/>
          <w:szCs w:val="18"/>
        </w:rPr>
        <w:t xml:space="preserve">[…..]* - Wyłączenie jawności w zakresie danych osobowych na podstawie przepisów o ochronie danych osobowych oraz art. 5 ust. 2 ustawy </w:t>
      </w:r>
      <w:r>
        <w:rPr>
          <w:rFonts w:ascii="Arial Narrow" w:hAnsi="Arial Narrow" w:cs="Arial"/>
          <w:color w:val="000000"/>
          <w:sz w:val="18"/>
          <w:szCs w:val="18"/>
        </w:rPr>
        <w:t>z dnia 6 września 2001r.</w:t>
      </w:r>
      <w:r w:rsidRPr="001D45AA">
        <w:rPr>
          <w:rFonts w:ascii="Arial Narrow" w:hAnsi="Arial Narrow" w:cs="Arial"/>
          <w:color w:val="000000"/>
          <w:sz w:val="18"/>
          <w:szCs w:val="18"/>
        </w:rPr>
        <w:t>o dostępie do informacji publicznej.</w:t>
      </w:r>
      <w:r w:rsidRPr="001D45AA">
        <w:rPr>
          <w:rFonts w:ascii="Arial Narrow" w:hAnsi="Arial Narrow" w:cs="Arial"/>
          <w:sz w:val="18"/>
          <w:szCs w:val="18"/>
        </w:rPr>
        <w:t xml:space="preserve">                                                            </w:t>
      </w:r>
    </w:p>
    <w:p w:rsidR="006852AB" w:rsidRPr="006852AB" w:rsidRDefault="00181C5D" w:rsidP="006852AB">
      <w:pPr>
        <w:ind w:left="4956" w:firstLine="708"/>
        <w:rPr>
          <w:rFonts w:ascii="Arial Narrow" w:hAnsi="Arial Narrow"/>
          <w:sz w:val="18"/>
          <w:szCs w:val="18"/>
        </w:rPr>
      </w:pPr>
      <w:r w:rsidRPr="00132579">
        <w:rPr>
          <w:rFonts w:ascii="Arial Narrow" w:hAnsi="Arial Narrow" w:cs="Arial"/>
          <w:sz w:val="26"/>
          <w:szCs w:val="26"/>
        </w:rPr>
        <w:t xml:space="preserve">                                                                    </w:t>
      </w:r>
    </w:p>
    <w:p w:rsidR="006852AB" w:rsidRDefault="006852AB" w:rsidP="006852AB">
      <w:pPr>
        <w:ind w:left="4956" w:firstLine="708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 xml:space="preserve">                                                        Burmistrz Miasta Płońsk</w:t>
      </w:r>
    </w:p>
    <w:p w:rsidR="006852AB" w:rsidRDefault="006852AB" w:rsidP="006852AB">
      <w:pPr>
        <w:ind w:left="4956" w:firstLine="708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 xml:space="preserve">                                                              Andrzej Pietrasik</w:t>
      </w:r>
    </w:p>
    <w:p w:rsidR="00181C5D" w:rsidRDefault="00181C5D" w:rsidP="00132579">
      <w:pPr>
        <w:pStyle w:val="Bezodstpw"/>
        <w:jc w:val="center"/>
        <w:rPr>
          <w:rFonts w:ascii="Arial Narrow" w:hAnsi="Arial Narrow"/>
          <w:b/>
        </w:rPr>
      </w:pPr>
    </w:p>
    <w:p w:rsidR="006852AB" w:rsidRDefault="006852AB" w:rsidP="00132579">
      <w:pPr>
        <w:pStyle w:val="Bezodstpw"/>
        <w:jc w:val="center"/>
        <w:rPr>
          <w:rFonts w:ascii="Arial Narrow" w:hAnsi="Arial Narrow"/>
          <w:b/>
        </w:rPr>
      </w:pPr>
    </w:p>
    <w:p w:rsidR="006852AB" w:rsidRPr="006852AB" w:rsidRDefault="006852AB" w:rsidP="006852AB">
      <w:pPr>
        <w:pStyle w:val="Bezodstpw"/>
        <w:jc w:val="left"/>
        <w:rPr>
          <w:rFonts w:ascii="Arial Narrow" w:hAnsi="Arial Narrow"/>
          <w:bCs/>
          <w:sz w:val="20"/>
          <w:szCs w:val="20"/>
        </w:rPr>
      </w:pPr>
      <w:r w:rsidRPr="006852AB">
        <w:rPr>
          <w:rFonts w:ascii="Arial Narrow" w:hAnsi="Arial Narrow"/>
          <w:bCs/>
          <w:sz w:val="20"/>
          <w:szCs w:val="20"/>
        </w:rPr>
        <w:t>Sporz. Inspektor Teresa Junczak</w:t>
      </w:r>
    </w:p>
    <w:p w:rsidR="006852AB" w:rsidRPr="006852AB" w:rsidRDefault="006852AB" w:rsidP="006852AB">
      <w:pPr>
        <w:pStyle w:val="Bezodstpw"/>
        <w:jc w:val="left"/>
        <w:rPr>
          <w:rFonts w:ascii="Arial Narrow" w:hAnsi="Arial Narrow"/>
          <w:bCs/>
          <w:sz w:val="20"/>
          <w:szCs w:val="20"/>
        </w:rPr>
      </w:pPr>
    </w:p>
    <w:p w:rsidR="006852AB" w:rsidRPr="006852AB" w:rsidRDefault="006852AB" w:rsidP="006852AB">
      <w:pPr>
        <w:pStyle w:val="Bezodstpw"/>
        <w:jc w:val="left"/>
        <w:rPr>
          <w:rFonts w:ascii="Arial Narrow" w:hAnsi="Arial Narrow"/>
          <w:bCs/>
          <w:sz w:val="20"/>
          <w:szCs w:val="20"/>
        </w:rPr>
      </w:pPr>
      <w:r w:rsidRPr="006852AB">
        <w:rPr>
          <w:rFonts w:ascii="Arial Narrow" w:hAnsi="Arial Narrow"/>
          <w:bCs/>
          <w:sz w:val="20"/>
          <w:szCs w:val="20"/>
        </w:rPr>
        <w:t>Spr. Dyrektor Ewa Grzeszczak</w:t>
      </w:r>
    </w:p>
    <w:sectPr w:rsidR="006852AB" w:rsidRPr="006852AB" w:rsidSect="00330B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36E3" w:rsidRPr="00595608" w:rsidRDefault="00B236E3" w:rsidP="00595608">
      <w:pPr>
        <w:spacing w:after="0" w:line="240" w:lineRule="auto"/>
      </w:pPr>
      <w:r>
        <w:separator/>
      </w:r>
    </w:p>
  </w:endnote>
  <w:endnote w:type="continuationSeparator" w:id="0">
    <w:p w:rsidR="00B236E3" w:rsidRPr="00595608" w:rsidRDefault="00B236E3" w:rsidP="0059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36E3" w:rsidRPr="00595608" w:rsidRDefault="00B236E3" w:rsidP="00595608">
      <w:pPr>
        <w:spacing w:after="0" w:line="240" w:lineRule="auto"/>
      </w:pPr>
      <w:r>
        <w:separator/>
      </w:r>
    </w:p>
  </w:footnote>
  <w:footnote w:type="continuationSeparator" w:id="0">
    <w:p w:rsidR="00B236E3" w:rsidRPr="00595608" w:rsidRDefault="00B236E3" w:rsidP="00595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30"/>
    <w:multiLevelType w:val="multilevel"/>
    <w:tmpl w:val="0000003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B01D0E"/>
    <w:multiLevelType w:val="hybridMultilevel"/>
    <w:tmpl w:val="E18C6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2042"/>
    <w:multiLevelType w:val="multilevel"/>
    <w:tmpl w:val="56EC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FA05BE4"/>
    <w:multiLevelType w:val="hybridMultilevel"/>
    <w:tmpl w:val="E18C6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771D1"/>
    <w:multiLevelType w:val="singleLevel"/>
    <w:tmpl w:val="3DCAC7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4132288"/>
    <w:multiLevelType w:val="hybridMultilevel"/>
    <w:tmpl w:val="E30AAF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4550170">
    <w:abstractNumId w:val="4"/>
    <w:lvlOverride w:ilvl="0">
      <w:startOverride w:val="1"/>
    </w:lvlOverride>
  </w:num>
  <w:num w:numId="2" w16cid:durableId="1230111501">
    <w:abstractNumId w:val="5"/>
  </w:num>
  <w:num w:numId="3" w16cid:durableId="1211647698">
    <w:abstractNumId w:val="0"/>
  </w:num>
  <w:num w:numId="4" w16cid:durableId="677267982">
    <w:abstractNumId w:val="2"/>
  </w:num>
  <w:num w:numId="5" w16cid:durableId="1214611429">
    <w:abstractNumId w:val="3"/>
  </w:num>
  <w:num w:numId="6" w16cid:durableId="116012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6E"/>
    <w:rsid w:val="00000743"/>
    <w:rsid w:val="00001392"/>
    <w:rsid w:val="000023DC"/>
    <w:rsid w:val="00003D6B"/>
    <w:rsid w:val="00004BCE"/>
    <w:rsid w:val="000076A4"/>
    <w:rsid w:val="0001000F"/>
    <w:rsid w:val="000107F7"/>
    <w:rsid w:val="00010F3A"/>
    <w:rsid w:val="00011548"/>
    <w:rsid w:val="00011D1B"/>
    <w:rsid w:val="000143A2"/>
    <w:rsid w:val="000153A2"/>
    <w:rsid w:val="000270D5"/>
    <w:rsid w:val="0004510B"/>
    <w:rsid w:val="00050069"/>
    <w:rsid w:val="00051CC0"/>
    <w:rsid w:val="000554A5"/>
    <w:rsid w:val="00056B1A"/>
    <w:rsid w:val="00064453"/>
    <w:rsid w:val="000653E0"/>
    <w:rsid w:val="00065ED4"/>
    <w:rsid w:val="00073068"/>
    <w:rsid w:val="0007567B"/>
    <w:rsid w:val="000838B8"/>
    <w:rsid w:val="00087A4A"/>
    <w:rsid w:val="000906B3"/>
    <w:rsid w:val="00093D56"/>
    <w:rsid w:val="000940E6"/>
    <w:rsid w:val="000C01E7"/>
    <w:rsid w:val="000C0B1C"/>
    <w:rsid w:val="000C3137"/>
    <w:rsid w:val="000C69DD"/>
    <w:rsid w:val="000D3C5D"/>
    <w:rsid w:val="000E2FED"/>
    <w:rsid w:val="000E5C38"/>
    <w:rsid w:val="000F7A10"/>
    <w:rsid w:val="001028AB"/>
    <w:rsid w:val="00103192"/>
    <w:rsid w:val="00103F41"/>
    <w:rsid w:val="001055BA"/>
    <w:rsid w:val="001127D4"/>
    <w:rsid w:val="00113C8A"/>
    <w:rsid w:val="00116029"/>
    <w:rsid w:val="0012099F"/>
    <w:rsid w:val="00132579"/>
    <w:rsid w:val="00141458"/>
    <w:rsid w:val="0014765B"/>
    <w:rsid w:val="00160C8D"/>
    <w:rsid w:val="001613B8"/>
    <w:rsid w:val="00174140"/>
    <w:rsid w:val="00174C58"/>
    <w:rsid w:val="00175DAE"/>
    <w:rsid w:val="00176CF3"/>
    <w:rsid w:val="00181C5D"/>
    <w:rsid w:val="00184726"/>
    <w:rsid w:val="00197EDB"/>
    <w:rsid w:val="001C0581"/>
    <w:rsid w:val="001D4508"/>
    <w:rsid w:val="001D7474"/>
    <w:rsid w:val="001E257F"/>
    <w:rsid w:val="001F1244"/>
    <w:rsid w:val="002008AA"/>
    <w:rsid w:val="00202622"/>
    <w:rsid w:val="00221905"/>
    <w:rsid w:val="00226553"/>
    <w:rsid w:val="00230291"/>
    <w:rsid w:val="00234E71"/>
    <w:rsid w:val="00240D36"/>
    <w:rsid w:val="002424F7"/>
    <w:rsid w:val="00254EA9"/>
    <w:rsid w:val="00260CD0"/>
    <w:rsid w:val="00281A9C"/>
    <w:rsid w:val="002913C0"/>
    <w:rsid w:val="00291851"/>
    <w:rsid w:val="00297F84"/>
    <w:rsid w:val="002A0D21"/>
    <w:rsid w:val="002A34C5"/>
    <w:rsid w:val="002A3FB0"/>
    <w:rsid w:val="002B1F9E"/>
    <w:rsid w:val="002B5A6B"/>
    <w:rsid w:val="002B6602"/>
    <w:rsid w:val="002B7F33"/>
    <w:rsid w:val="002D63A3"/>
    <w:rsid w:val="002E34BB"/>
    <w:rsid w:val="00301E3C"/>
    <w:rsid w:val="003027F5"/>
    <w:rsid w:val="00322018"/>
    <w:rsid w:val="003239D7"/>
    <w:rsid w:val="00330BB1"/>
    <w:rsid w:val="00330BBF"/>
    <w:rsid w:val="00332E9C"/>
    <w:rsid w:val="00333FE8"/>
    <w:rsid w:val="00347976"/>
    <w:rsid w:val="00352F1A"/>
    <w:rsid w:val="003544B7"/>
    <w:rsid w:val="00356F1D"/>
    <w:rsid w:val="003577DE"/>
    <w:rsid w:val="00366241"/>
    <w:rsid w:val="00366E99"/>
    <w:rsid w:val="0036711D"/>
    <w:rsid w:val="0036780F"/>
    <w:rsid w:val="003819D5"/>
    <w:rsid w:val="00392606"/>
    <w:rsid w:val="0039267E"/>
    <w:rsid w:val="003A149F"/>
    <w:rsid w:val="003A177A"/>
    <w:rsid w:val="003A2C64"/>
    <w:rsid w:val="003A4204"/>
    <w:rsid w:val="003A6B20"/>
    <w:rsid w:val="003B0A80"/>
    <w:rsid w:val="003C2763"/>
    <w:rsid w:val="003C28B6"/>
    <w:rsid w:val="003C3C92"/>
    <w:rsid w:val="003C70C4"/>
    <w:rsid w:val="003D7FA0"/>
    <w:rsid w:val="003F0096"/>
    <w:rsid w:val="003F12B7"/>
    <w:rsid w:val="003F19A0"/>
    <w:rsid w:val="003F4A71"/>
    <w:rsid w:val="00403DD3"/>
    <w:rsid w:val="00412064"/>
    <w:rsid w:val="00412995"/>
    <w:rsid w:val="0042483E"/>
    <w:rsid w:val="0044386E"/>
    <w:rsid w:val="0044571B"/>
    <w:rsid w:val="0044756C"/>
    <w:rsid w:val="00456C08"/>
    <w:rsid w:val="0046657B"/>
    <w:rsid w:val="004703A8"/>
    <w:rsid w:val="00470E42"/>
    <w:rsid w:val="0047201E"/>
    <w:rsid w:val="004727A4"/>
    <w:rsid w:val="00476858"/>
    <w:rsid w:val="004802FD"/>
    <w:rsid w:val="00483092"/>
    <w:rsid w:val="0049122C"/>
    <w:rsid w:val="004A0D4D"/>
    <w:rsid w:val="004A7213"/>
    <w:rsid w:val="004B1151"/>
    <w:rsid w:val="004B6303"/>
    <w:rsid w:val="004C096A"/>
    <w:rsid w:val="004C1D56"/>
    <w:rsid w:val="004C6064"/>
    <w:rsid w:val="004F0A07"/>
    <w:rsid w:val="004F5E3D"/>
    <w:rsid w:val="004F69E1"/>
    <w:rsid w:val="00504107"/>
    <w:rsid w:val="0051607B"/>
    <w:rsid w:val="005178ED"/>
    <w:rsid w:val="00530AF9"/>
    <w:rsid w:val="00531749"/>
    <w:rsid w:val="00541CDF"/>
    <w:rsid w:val="005421C4"/>
    <w:rsid w:val="00544DEA"/>
    <w:rsid w:val="00546603"/>
    <w:rsid w:val="00553B6E"/>
    <w:rsid w:val="00557DE5"/>
    <w:rsid w:val="0059096D"/>
    <w:rsid w:val="00594A6F"/>
    <w:rsid w:val="00595608"/>
    <w:rsid w:val="005A02CA"/>
    <w:rsid w:val="005A192D"/>
    <w:rsid w:val="005A3BA3"/>
    <w:rsid w:val="005A47D3"/>
    <w:rsid w:val="005A4F76"/>
    <w:rsid w:val="005A7617"/>
    <w:rsid w:val="005C7F39"/>
    <w:rsid w:val="005D068E"/>
    <w:rsid w:val="005D30E6"/>
    <w:rsid w:val="005D69F0"/>
    <w:rsid w:val="005D7F8B"/>
    <w:rsid w:val="005F3B3F"/>
    <w:rsid w:val="00605B06"/>
    <w:rsid w:val="00606D72"/>
    <w:rsid w:val="00617A1A"/>
    <w:rsid w:val="00622133"/>
    <w:rsid w:val="00622264"/>
    <w:rsid w:val="00624267"/>
    <w:rsid w:val="006260A0"/>
    <w:rsid w:val="00630586"/>
    <w:rsid w:val="006353B6"/>
    <w:rsid w:val="00641BE9"/>
    <w:rsid w:val="00653217"/>
    <w:rsid w:val="00653B98"/>
    <w:rsid w:val="0066049B"/>
    <w:rsid w:val="0066455E"/>
    <w:rsid w:val="00665DCE"/>
    <w:rsid w:val="006773B1"/>
    <w:rsid w:val="006852AB"/>
    <w:rsid w:val="00691B55"/>
    <w:rsid w:val="00693C5C"/>
    <w:rsid w:val="00697395"/>
    <w:rsid w:val="006A7DB3"/>
    <w:rsid w:val="006A7EFA"/>
    <w:rsid w:val="006B3749"/>
    <w:rsid w:val="006C0E56"/>
    <w:rsid w:val="006C6488"/>
    <w:rsid w:val="006D6EEC"/>
    <w:rsid w:val="006E0E15"/>
    <w:rsid w:val="006E20B4"/>
    <w:rsid w:val="006E4BFE"/>
    <w:rsid w:val="006E5BF9"/>
    <w:rsid w:val="006F0E69"/>
    <w:rsid w:val="006F1F56"/>
    <w:rsid w:val="006F4E0A"/>
    <w:rsid w:val="006F5E36"/>
    <w:rsid w:val="006F6F59"/>
    <w:rsid w:val="007059F3"/>
    <w:rsid w:val="00707E6C"/>
    <w:rsid w:val="007109D6"/>
    <w:rsid w:val="00713BD3"/>
    <w:rsid w:val="00723093"/>
    <w:rsid w:val="00727437"/>
    <w:rsid w:val="007341FC"/>
    <w:rsid w:val="00736A81"/>
    <w:rsid w:val="00741579"/>
    <w:rsid w:val="00744B0C"/>
    <w:rsid w:val="00746AC5"/>
    <w:rsid w:val="00747F80"/>
    <w:rsid w:val="0075523F"/>
    <w:rsid w:val="00756B1C"/>
    <w:rsid w:val="00761644"/>
    <w:rsid w:val="0077170D"/>
    <w:rsid w:val="00776BEA"/>
    <w:rsid w:val="00786BBA"/>
    <w:rsid w:val="00787E59"/>
    <w:rsid w:val="00795351"/>
    <w:rsid w:val="00796681"/>
    <w:rsid w:val="007966C0"/>
    <w:rsid w:val="007A3119"/>
    <w:rsid w:val="007A3DF0"/>
    <w:rsid w:val="007A62BD"/>
    <w:rsid w:val="007B0D2E"/>
    <w:rsid w:val="007B15E7"/>
    <w:rsid w:val="007B3EA0"/>
    <w:rsid w:val="007B5288"/>
    <w:rsid w:val="007B5669"/>
    <w:rsid w:val="007B587A"/>
    <w:rsid w:val="007D13CF"/>
    <w:rsid w:val="007E6B0D"/>
    <w:rsid w:val="007F2DCC"/>
    <w:rsid w:val="007F7627"/>
    <w:rsid w:val="008012E4"/>
    <w:rsid w:val="008030FD"/>
    <w:rsid w:val="008059DD"/>
    <w:rsid w:val="00807CA9"/>
    <w:rsid w:val="00807E13"/>
    <w:rsid w:val="00811754"/>
    <w:rsid w:val="00813AF6"/>
    <w:rsid w:val="008164F8"/>
    <w:rsid w:val="0082627C"/>
    <w:rsid w:val="00826DF9"/>
    <w:rsid w:val="008337C0"/>
    <w:rsid w:val="00834D3F"/>
    <w:rsid w:val="008423CA"/>
    <w:rsid w:val="00843B3E"/>
    <w:rsid w:val="00862BE1"/>
    <w:rsid w:val="008655E4"/>
    <w:rsid w:val="008658DF"/>
    <w:rsid w:val="008705F4"/>
    <w:rsid w:val="0087110C"/>
    <w:rsid w:val="00893DF8"/>
    <w:rsid w:val="008A1A5E"/>
    <w:rsid w:val="008A7275"/>
    <w:rsid w:val="008B3258"/>
    <w:rsid w:val="008B7BD5"/>
    <w:rsid w:val="008C3266"/>
    <w:rsid w:val="008C44A6"/>
    <w:rsid w:val="008D2D3D"/>
    <w:rsid w:val="008D401F"/>
    <w:rsid w:val="008D54B2"/>
    <w:rsid w:val="008D61AA"/>
    <w:rsid w:val="008D6449"/>
    <w:rsid w:val="008F005B"/>
    <w:rsid w:val="008F2F2D"/>
    <w:rsid w:val="008F3B29"/>
    <w:rsid w:val="008F5A4A"/>
    <w:rsid w:val="008F6223"/>
    <w:rsid w:val="009033D9"/>
    <w:rsid w:val="0090460F"/>
    <w:rsid w:val="00904D52"/>
    <w:rsid w:val="00905B57"/>
    <w:rsid w:val="00931B78"/>
    <w:rsid w:val="009331F7"/>
    <w:rsid w:val="009339B8"/>
    <w:rsid w:val="0094713D"/>
    <w:rsid w:val="009476B4"/>
    <w:rsid w:val="009558A3"/>
    <w:rsid w:val="00956AF2"/>
    <w:rsid w:val="00956E34"/>
    <w:rsid w:val="009654AE"/>
    <w:rsid w:val="00966395"/>
    <w:rsid w:val="009664F9"/>
    <w:rsid w:val="00980E41"/>
    <w:rsid w:val="009811E7"/>
    <w:rsid w:val="00981B06"/>
    <w:rsid w:val="00996EED"/>
    <w:rsid w:val="0099797B"/>
    <w:rsid w:val="009A5C7F"/>
    <w:rsid w:val="009A7FBD"/>
    <w:rsid w:val="009B0C0B"/>
    <w:rsid w:val="009B31FF"/>
    <w:rsid w:val="009B3F6D"/>
    <w:rsid w:val="009B4A38"/>
    <w:rsid w:val="009B7739"/>
    <w:rsid w:val="009C56A4"/>
    <w:rsid w:val="009D1C17"/>
    <w:rsid w:val="009D3794"/>
    <w:rsid w:val="009E3257"/>
    <w:rsid w:val="009F5565"/>
    <w:rsid w:val="009F6BBE"/>
    <w:rsid w:val="00A00B95"/>
    <w:rsid w:val="00A048B9"/>
    <w:rsid w:val="00A155CB"/>
    <w:rsid w:val="00A27EF5"/>
    <w:rsid w:val="00A32447"/>
    <w:rsid w:val="00A331E4"/>
    <w:rsid w:val="00A34B03"/>
    <w:rsid w:val="00A42EF3"/>
    <w:rsid w:val="00A61782"/>
    <w:rsid w:val="00A66225"/>
    <w:rsid w:val="00A71F83"/>
    <w:rsid w:val="00A735BF"/>
    <w:rsid w:val="00A80EF6"/>
    <w:rsid w:val="00A855D1"/>
    <w:rsid w:val="00A86017"/>
    <w:rsid w:val="00A869C6"/>
    <w:rsid w:val="00A9050A"/>
    <w:rsid w:val="00AA0B00"/>
    <w:rsid w:val="00AA3F70"/>
    <w:rsid w:val="00AA6682"/>
    <w:rsid w:val="00AB5E4D"/>
    <w:rsid w:val="00AC1E02"/>
    <w:rsid w:val="00AC2891"/>
    <w:rsid w:val="00AC43A1"/>
    <w:rsid w:val="00AC7F28"/>
    <w:rsid w:val="00AD0D8C"/>
    <w:rsid w:val="00AD7185"/>
    <w:rsid w:val="00AD7878"/>
    <w:rsid w:val="00AE23FB"/>
    <w:rsid w:val="00AF01E2"/>
    <w:rsid w:val="00AF0388"/>
    <w:rsid w:val="00AF30AE"/>
    <w:rsid w:val="00B00012"/>
    <w:rsid w:val="00B02CCC"/>
    <w:rsid w:val="00B06827"/>
    <w:rsid w:val="00B13483"/>
    <w:rsid w:val="00B17783"/>
    <w:rsid w:val="00B236E3"/>
    <w:rsid w:val="00B4076E"/>
    <w:rsid w:val="00B40995"/>
    <w:rsid w:val="00B452A0"/>
    <w:rsid w:val="00B617C2"/>
    <w:rsid w:val="00B70BF3"/>
    <w:rsid w:val="00B76619"/>
    <w:rsid w:val="00B911EC"/>
    <w:rsid w:val="00B970E9"/>
    <w:rsid w:val="00BA54EF"/>
    <w:rsid w:val="00BB10D7"/>
    <w:rsid w:val="00BB58D0"/>
    <w:rsid w:val="00BC4DEF"/>
    <w:rsid w:val="00BD73F2"/>
    <w:rsid w:val="00BE415B"/>
    <w:rsid w:val="00BE4D16"/>
    <w:rsid w:val="00BE6867"/>
    <w:rsid w:val="00BF5F67"/>
    <w:rsid w:val="00C041FD"/>
    <w:rsid w:val="00C13FE3"/>
    <w:rsid w:val="00C14429"/>
    <w:rsid w:val="00C22424"/>
    <w:rsid w:val="00C24D91"/>
    <w:rsid w:val="00C24DD1"/>
    <w:rsid w:val="00C25FF9"/>
    <w:rsid w:val="00C26208"/>
    <w:rsid w:val="00C27D33"/>
    <w:rsid w:val="00C300E7"/>
    <w:rsid w:val="00C41FEC"/>
    <w:rsid w:val="00C5060D"/>
    <w:rsid w:val="00C615F4"/>
    <w:rsid w:val="00C6409A"/>
    <w:rsid w:val="00C65A11"/>
    <w:rsid w:val="00C705D4"/>
    <w:rsid w:val="00C71E18"/>
    <w:rsid w:val="00C806CB"/>
    <w:rsid w:val="00C9030B"/>
    <w:rsid w:val="00C95E89"/>
    <w:rsid w:val="00CA0148"/>
    <w:rsid w:val="00CA020F"/>
    <w:rsid w:val="00CB531D"/>
    <w:rsid w:val="00CC39A5"/>
    <w:rsid w:val="00CC42F9"/>
    <w:rsid w:val="00CC6100"/>
    <w:rsid w:val="00CC76E9"/>
    <w:rsid w:val="00CD3A76"/>
    <w:rsid w:val="00CD488A"/>
    <w:rsid w:val="00CD7D88"/>
    <w:rsid w:val="00CE19FE"/>
    <w:rsid w:val="00CE46F6"/>
    <w:rsid w:val="00CF2A49"/>
    <w:rsid w:val="00CF4097"/>
    <w:rsid w:val="00CF6933"/>
    <w:rsid w:val="00CF7541"/>
    <w:rsid w:val="00D111C5"/>
    <w:rsid w:val="00D119AC"/>
    <w:rsid w:val="00D14DB5"/>
    <w:rsid w:val="00D20602"/>
    <w:rsid w:val="00D2460F"/>
    <w:rsid w:val="00D302AF"/>
    <w:rsid w:val="00D33E58"/>
    <w:rsid w:val="00D35EE5"/>
    <w:rsid w:val="00D4038A"/>
    <w:rsid w:val="00D446AC"/>
    <w:rsid w:val="00D44D64"/>
    <w:rsid w:val="00D62E3F"/>
    <w:rsid w:val="00D6796D"/>
    <w:rsid w:val="00D718A3"/>
    <w:rsid w:val="00D725A8"/>
    <w:rsid w:val="00D73254"/>
    <w:rsid w:val="00D775C4"/>
    <w:rsid w:val="00D77847"/>
    <w:rsid w:val="00D851D4"/>
    <w:rsid w:val="00D870F5"/>
    <w:rsid w:val="00D8745D"/>
    <w:rsid w:val="00D87C26"/>
    <w:rsid w:val="00D95075"/>
    <w:rsid w:val="00D95216"/>
    <w:rsid w:val="00DA399D"/>
    <w:rsid w:val="00DB5EBE"/>
    <w:rsid w:val="00DC0513"/>
    <w:rsid w:val="00DC57FB"/>
    <w:rsid w:val="00DD7FF6"/>
    <w:rsid w:val="00DF1A73"/>
    <w:rsid w:val="00DF23E5"/>
    <w:rsid w:val="00E00C74"/>
    <w:rsid w:val="00E03346"/>
    <w:rsid w:val="00E11292"/>
    <w:rsid w:val="00E17C6C"/>
    <w:rsid w:val="00E2292C"/>
    <w:rsid w:val="00E247B2"/>
    <w:rsid w:val="00E25C1A"/>
    <w:rsid w:val="00E30060"/>
    <w:rsid w:val="00E305EE"/>
    <w:rsid w:val="00E32AAE"/>
    <w:rsid w:val="00E37493"/>
    <w:rsid w:val="00E43A7F"/>
    <w:rsid w:val="00E43BC8"/>
    <w:rsid w:val="00E45D98"/>
    <w:rsid w:val="00E60328"/>
    <w:rsid w:val="00E75789"/>
    <w:rsid w:val="00E80BF0"/>
    <w:rsid w:val="00E836FD"/>
    <w:rsid w:val="00E95292"/>
    <w:rsid w:val="00EB75D9"/>
    <w:rsid w:val="00EC5866"/>
    <w:rsid w:val="00ED59CD"/>
    <w:rsid w:val="00EE029B"/>
    <w:rsid w:val="00EE3B00"/>
    <w:rsid w:val="00EE494D"/>
    <w:rsid w:val="00EE757E"/>
    <w:rsid w:val="00EF6729"/>
    <w:rsid w:val="00F00F2A"/>
    <w:rsid w:val="00F01F62"/>
    <w:rsid w:val="00F0297F"/>
    <w:rsid w:val="00F063BA"/>
    <w:rsid w:val="00F065FA"/>
    <w:rsid w:val="00F06CEC"/>
    <w:rsid w:val="00F072AC"/>
    <w:rsid w:val="00F07E0C"/>
    <w:rsid w:val="00F07E5C"/>
    <w:rsid w:val="00F3496E"/>
    <w:rsid w:val="00F42633"/>
    <w:rsid w:val="00F4461C"/>
    <w:rsid w:val="00F44DD6"/>
    <w:rsid w:val="00F52217"/>
    <w:rsid w:val="00F5609C"/>
    <w:rsid w:val="00F57CF1"/>
    <w:rsid w:val="00F62167"/>
    <w:rsid w:val="00F630AD"/>
    <w:rsid w:val="00F72137"/>
    <w:rsid w:val="00F76879"/>
    <w:rsid w:val="00F770E3"/>
    <w:rsid w:val="00F81D35"/>
    <w:rsid w:val="00F92E08"/>
    <w:rsid w:val="00FA7082"/>
    <w:rsid w:val="00FA7F43"/>
    <w:rsid w:val="00FB3CEE"/>
    <w:rsid w:val="00FC29E9"/>
    <w:rsid w:val="00FD5F34"/>
    <w:rsid w:val="00FE0FFB"/>
    <w:rsid w:val="00FE6CC1"/>
    <w:rsid w:val="00FE7DE6"/>
    <w:rsid w:val="00FF2221"/>
    <w:rsid w:val="00FF4C93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C0D7A-F6C5-4F3E-A1B7-43D8A8AD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8B6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30BB1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hAnsi="Times New Roman"/>
      <w:b/>
      <w:sz w:val="32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F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44386E"/>
    <w:pPr>
      <w:spacing w:before="60" w:after="60" w:line="360" w:lineRule="auto"/>
      <w:jc w:val="center"/>
    </w:pPr>
    <w:rPr>
      <w:rFonts w:ascii="Arial" w:hAnsi="Arial"/>
      <w:b/>
      <w:sz w:val="24"/>
      <w:szCs w:val="24"/>
    </w:rPr>
  </w:style>
  <w:style w:type="character" w:customStyle="1" w:styleId="Tekstpodstawowy3Znak">
    <w:name w:val="Tekst podstawowy 3 Znak"/>
    <w:link w:val="Tekstpodstawowy3"/>
    <w:rsid w:val="0044386E"/>
    <w:rPr>
      <w:rFonts w:ascii="Arial" w:eastAsia="Times New Roman" w:hAnsi="Arial" w:cs="Times New Roman"/>
      <w:b/>
      <w:sz w:val="24"/>
      <w:szCs w:val="24"/>
    </w:rPr>
  </w:style>
  <w:style w:type="paragraph" w:styleId="Bezodstpw">
    <w:name w:val="No Spacing"/>
    <w:uiPriority w:val="1"/>
    <w:qFormat/>
    <w:rsid w:val="0044386E"/>
    <w:pPr>
      <w:jc w:val="both"/>
    </w:pPr>
    <w:rPr>
      <w:rFonts w:ascii="Arial" w:hAnsi="Arial"/>
      <w:sz w:val="24"/>
      <w:szCs w:val="24"/>
    </w:rPr>
  </w:style>
  <w:style w:type="paragraph" w:customStyle="1" w:styleId="WW-Zawartotabeli1111">
    <w:name w:val="WW-Zawartość tabeli1111"/>
    <w:basedOn w:val="Tekstpodstawowy"/>
    <w:rsid w:val="0044386E"/>
    <w:pPr>
      <w:suppressLineNumbers/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38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386E"/>
  </w:style>
  <w:style w:type="character" w:customStyle="1" w:styleId="Nagwek1Znak">
    <w:name w:val="Nagłówek 1 Znak"/>
    <w:link w:val="Nagwek1"/>
    <w:rsid w:val="00330BB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Pogrubienie">
    <w:name w:val="Strong"/>
    <w:uiPriority w:val="22"/>
    <w:qFormat/>
    <w:rsid w:val="00A42EF3"/>
    <w:rPr>
      <w:b/>
      <w:bCs/>
    </w:rPr>
  </w:style>
  <w:style w:type="table" w:styleId="Tabela-Siatka">
    <w:name w:val="Table Grid"/>
    <w:basedOn w:val="Standardowy"/>
    <w:uiPriority w:val="59"/>
    <w:rsid w:val="005C7F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2">
    <w:name w:val="h2"/>
    <w:basedOn w:val="Domylnaczcionkaakapitu"/>
    <w:rsid w:val="00AA3F70"/>
  </w:style>
  <w:style w:type="paragraph" w:styleId="Tekstdymka">
    <w:name w:val="Balloon Text"/>
    <w:basedOn w:val="Normalny"/>
    <w:link w:val="TekstdymkaZnak"/>
    <w:uiPriority w:val="99"/>
    <w:semiHidden/>
    <w:unhideWhenUsed/>
    <w:rsid w:val="0051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78E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6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608"/>
  </w:style>
  <w:style w:type="character" w:styleId="Odwoanieprzypisukocowego">
    <w:name w:val="endnote reference"/>
    <w:uiPriority w:val="99"/>
    <w:semiHidden/>
    <w:unhideWhenUsed/>
    <w:rsid w:val="00595608"/>
    <w:rPr>
      <w:vertAlign w:val="superscript"/>
    </w:rPr>
  </w:style>
  <w:style w:type="character" w:customStyle="1" w:styleId="Nagwek2Znak">
    <w:name w:val="Nagłówek 2 Znak"/>
    <w:link w:val="Nagwek2"/>
    <w:uiPriority w:val="9"/>
    <w:semiHidden/>
    <w:rsid w:val="005D7F8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6EE6-FFB3-4D04-A81F-DF35A3AD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4985</Words>
  <Characters>29912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teresao</dc:creator>
  <cp:keywords/>
  <cp:lastModifiedBy>Teresa Junczak</cp:lastModifiedBy>
  <cp:revision>2</cp:revision>
  <cp:lastPrinted>2024-12-11T10:56:00Z</cp:lastPrinted>
  <dcterms:created xsi:type="dcterms:W3CDTF">2024-12-12T10:15:00Z</dcterms:created>
  <dcterms:modified xsi:type="dcterms:W3CDTF">2024-12-12T10:15:00Z</dcterms:modified>
</cp:coreProperties>
</file>