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76DFF3DF" w14:textId="77777777" w:rsidR="00306D59" w:rsidRPr="00306D59" w:rsidRDefault="008E1BA3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eastAsia="Calibri" w:hAnsi="Times New Roman" w:cs="Times New Roman"/>
        </w:rPr>
        <w:t xml:space="preserve">ane osobowe </w:t>
      </w:r>
      <w:r w:rsidRPr="00306D59">
        <w:rPr>
          <w:rFonts w:ascii="Times New Roman" w:eastAsia="Calibri" w:hAnsi="Times New Roman" w:cs="Times New Roman"/>
        </w:rPr>
        <w:t>reprezentantów</w:t>
      </w:r>
      <w:r w:rsidR="00177F64" w:rsidRPr="00306D59">
        <w:rPr>
          <w:rFonts w:ascii="Times New Roman" w:eastAsia="Calibri" w:hAnsi="Times New Roman" w:cs="Times New Roman"/>
        </w:rPr>
        <w:t xml:space="preserve"> </w:t>
      </w:r>
      <w:r w:rsidR="00747277" w:rsidRPr="00306D59">
        <w:rPr>
          <w:rFonts w:ascii="Times New Roman" w:eastAsia="Calibri" w:hAnsi="Times New Roman" w:cs="Times New Roman"/>
        </w:rPr>
        <w:t>przetwarzane będą w celu w</w:t>
      </w:r>
      <w:r w:rsidR="00747277" w:rsidRPr="00306D59">
        <w:rPr>
          <w:rFonts w:ascii="Times New Roman" w:hAnsi="Times New Roman" w:cs="Times New Roman"/>
          <w:color w:val="000000"/>
        </w:rPr>
        <w:t xml:space="preserve">ypełnienia obowiązku prawnego ciążącego na administratorze, wynikającego z przepisów ustawy z dnia 24 kwietnia 2003 r. </w:t>
      </w:r>
      <w:r w:rsidR="00177F64" w:rsidRPr="00306D59">
        <w:rPr>
          <w:rFonts w:ascii="Times New Roman" w:hAnsi="Times New Roman" w:cs="Times New Roman"/>
          <w:color w:val="000000"/>
        </w:rPr>
        <w:br/>
      </w:r>
      <w:r w:rsidR="00747277" w:rsidRPr="00306D59">
        <w:rPr>
          <w:rFonts w:ascii="Times New Roman" w:hAnsi="Times New Roman" w:cs="Times New Roman"/>
          <w:color w:val="000000"/>
        </w:rPr>
        <w:t>o działalności pożytku publicznego i o wolontariacie.</w:t>
      </w:r>
    </w:p>
    <w:p w14:paraId="159DB42B" w14:textId="237821A6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20C89CF8" w:rsidR="00747277" w:rsidRPr="0030645C" w:rsidRDefault="009E6605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50328"/>
    <w:rsid w:val="00482F74"/>
    <w:rsid w:val="00491CCA"/>
    <w:rsid w:val="005324B3"/>
    <w:rsid w:val="00583F14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C53102"/>
    <w:rsid w:val="00CA22C4"/>
    <w:rsid w:val="00CC5DAB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10</cp:revision>
  <cp:lastPrinted>2021-05-27T12:08:00Z</cp:lastPrinted>
  <dcterms:created xsi:type="dcterms:W3CDTF">2021-05-27T11:58:00Z</dcterms:created>
  <dcterms:modified xsi:type="dcterms:W3CDTF">2021-05-27T12:17:00Z</dcterms:modified>
</cp:coreProperties>
</file>